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ED3B14" w14:textId="77777777" w:rsidR="003062B1" w:rsidRPr="00DD77BC" w:rsidRDefault="003062B1" w:rsidP="005F49ED">
      <w:pPr>
        <w:spacing w:line="240" w:lineRule="auto"/>
        <w:jc w:val="center"/>
        <w:rPr>
          <w:rFonts w:eastAsia="Times New Roman"/>
          <w:b/>
        </w:rPr>
      </w:pPr>
      <w:r w:rsidRPr="00DD77BC">
        <w:rPr>
          <w:rFonts w:eastAsia="Times New Roman"/>
          <w:b/>
        </w:rPr>
        <w:t>Principa “Nenodarīt būtisku kaitējumu” novērtējums</w:t>
      </w:r>
    </w:p>
    <w:p w14:paraId="414B00F0" w14:textId="17EE7666" w:rsidR="00AE15E3" w:rsidRPr="00DD77BC" w:rsidRDefault="004F2B95" w:rsidP="005F49ED">
      <w:pPr>
        <w:spacing w:line="240" w:lineRule="auto"/>
        <w:jc w:val="center"/>
        <w:rPr>
          <w:rFonts w:eastAsia="Times New Roman"/>
          <w:b/>
          <w:bCs/>
          <w:color w:val="000000"/>
          <w:lang w:eastAsia="en-GB" w:bidi="ne-NP"/>
        </w:rPr>
      </w:pPr>
      <w:r w:rsidRPr="00DD77BC">
        <w:rPr>
          <w:rFonts w:eastAsia="Times New Roman"/>
          <w:b/>
          <w:bCs/>
          <w:color w:val="000000"/>
          <w:lang w:eastAsia="en-GB" w:bidi="ne-NP"/>
        </w:rPr>
        <w:t xml:space="preserve">SAM 4.3.1. </w:t>
      </w:r>
      <w:r w:rsidR="00AE15E3" w:rsidRPr="00DD77BC">
        <w:rPr>
          <w:rFonts w:eastAsia="Times New Roman"/>
          <w:b/>
          <w:bCs/>
          <w:color w:val="000000"/>
          <w:lang w:eastAsia="en-GB" w:bidi="ne-NP"/>
        </w:rPr>
        <w:t>“Veicināt sociāli atstumto kopienu, mājsaimniecību ar zemiem ienākumiem un nelabvēlīgā situācijā esošo grupu, tostarp cilvēku ar īpašām vajadzībām sociāli ekonomisko integrāciju, īstenojot integrētas darbības, tostarp nodrošinot mājokli un sociālos pakalpojumus”</w:t>
      </w:r>
    </w:p>
    <w:p w14:paraId="0200433D" w14:textId="0266B955" w:rsidR="003062B1" w:rsidRPr="00DD77BC" w:rsidRDefault="004F2B95" w:rsidP="005F49ED">
      <w:pPr>
        <w:spacing w:line="240" w:lineRule="auto"/>
        <w:jc w:val="center"/>
        <w:rPr>
          <w:rFonts w:eastAsia="Times New Roman"/>
          <w:b/>
          <w:bCs/>
        </w:rPr>
      </w:pPr>
      <w:r w:rsidRPr="00DD77BC">
        <w:rPr>
          <w:rFonts w:eastAsia="Times New Roman"/>
          <w:b/>
          <w:bCs/>
          <w:color w:val="000000"/>
          <w:lang w:eastAsia="en-GB" w:bidi="ne-NP"/>
        </w:rPr>
        <w:t>4.3.1.3.</w:t>
      </w:r>
      <w:r w:rsidR="00AE15E3" w:rsidRPr="00DD77BC">
        <w:rPr>
          <w:rFonts w:eastAsia="Times New Roman"/>
          <w:b/>
          <w:bCs/>
          <w:color w:val="000000"/>
          <w:lang w:eastAsia="en-GB" w:bidi="ne-NP"/>
        </w:rPr>
        <w:t>pasākumam</w:t>
      </w:r>
      <w:r w:rsidRPr="00DD77BC">
        <w:rPr>
          <w:rFonts w:eastAsia="Times New Roman"/>
          <w:b/>
          <w:bCs/>
          <w:color w:val="000000"/>
          <w:lang w:eastAsia="en-GB" w:bidi="ne-NP"/>
        </w:rPr>
        <w:t xml:space="preserve"> “Sociālo mājokļu atjaunošana vai jaunu sociālo mājokļu būvniecība”</w:t>
      </w:r>
    </w:p>
    <w:p w14:paraId="535D7BAB" w14:textId="445E237E" w:rsidR="00AE15E3" w:rsidRPr="00DD77BC" w:rsidRDefault="00AE15E3" w:rsidP="005F49ED">
      <w:pPr>
        <w:spacing w:line="240" w:lineRule="auto"/>
        <w:jc w:val="center"/>
        <w:rPr>
          <w:rFonts w:eastAsia="Times New Roman"/>
          <w:b/>
          <w:bCs/>
        </w:rPr>
      </w:pPr>
    </w:p>
    <w:p w14:paraId="6A84607A" w14:textId="66F16670" w:rsidR="00AE15E3" w:rsidRPr="00DD77BC" w:rsidRDefault="00AE15E3" w:rsidP="005F49ED">
      <w:pPr>
        <w:spacing w:line="240" w:lineRule="auto"/>
        <w:jc w:val="center"/>
        <w:rPr>
          <w:rFonts w:eastAsia="Times New Roman"/>
          <w:b/>
          <w:bCs/>
        </w:rPr>
      </w:pPr>
    </w:p>
    <w:p w14:paraId="027A0931" w14:textId="2624FA2F" w:rsidR="00AE15E3" w:rsidRPr="00DD77BC" w:rsidRDefault="00AE15E3" w:rsidP="00AE15E3">
      <w:pPr>
        <w:spacing w:line="240" w:lineRule="auto"/>
        <w:jc w:val="center"/>
        <w:rPr>
          <w:rFonts w:eastAsia="Times New Roman"/>
          <w:b/>
          <w:bCs/>
          <w:u w:val="single"/>
        </w:rPr>
      </w:pPr>
      <w:r w:rsidRPr="00DD77BC">
        <w:rPr>
          <w:rFonts w:eastAsia="Times New Roman"/>
          <w:b/>
          <w:bCs/>
          <w:color w:val="000000"/>
          <w:u w:val="single"/>
          <w:lang w:eastAsia="en-GB" w:bidi="ne-NP"/>
        </w:rPr>
        <w:t>4.3.1.3.pasākums “Sociālo mājokļu atjaunošana vai jaunu sociālo mājokļu būvniecība”</w:t>
      </w:r>
    </w:p>
    <w:p w14:paraId="55F3BBD7" w14:textId="77777777" w:rsidR="00AE15E3" w:rsidRPr="00DD77BC" w:rsidRDefault="00AE15E3" w:rsidP="005F49ED">
      <w:pPr>
        <w:spacing w:line="240" w:lineRule="auto"/>
        <w:jc w:val="center"/>
        <w:rPr>
          <w:rFonts w:eastAsia="Times New Roman"/>
          <w:b/>
          <w:bCs/>
        </w:rPr>
      </w:pPr>
    </w:p>
    <w:p w14:paraId="5F202DE3" w14:textId="77777777" w:rsidR="003062B1" w:rsidRPr="00DD77BC" w:rsidRDefault="003062B1" w:rsidP="003062B1">
      <w:pPr>
        <w:spacing w:line="240" w:lineRule="auto"/>
        <w:rPr>
          <w:rFonts w:eastAsia="Times New Roman"/>
          <w:b/>
          <w:bCs/>
          <w:sz w:val="20"/>
          <w:szCs w:val="20"/>
        </w:rPr>
      </w:pPr>
    </w:p>
    <w:p w14:paraId="708D362E" w14:textId="77777777" w:rsidR="003062B1" w:rsidRPr="00DD77BC" w:rsidRDefault="003062B1" w:rsidP="003062B1">
      <w:pPr>
        <w:spacing w:line="240" w:lineRule="auto"/>
        <w:rPr>
          <w:rFonts w:eastAsia="Times New Roman"/>
          <w:b/>
          <w:sz w:val="20"/>
          <w:szCs w:val="20"/>
        </w:rPr>
      </w:pPr>
      <w:r w:rsidRPr="00DD77BC">
        <w:rPr>
          <w:rFonts w:eastAsia="Times New Roman"/>
          <w:b/>
          <w:sz w:val="20"/>
          <w:szCs w:val="20"/>
        </w:rPr>
        <w:t>Novērtējuma 1.daļa</w:t>
      </w:r>
    </w:p>
    <w:tbl>
      <w:tblPr>
        <w:tblW w:w="15371" w:type="dxa"/>
        <w:tblLayout w:type="fixed"/>
        <w:tblCellMar>
          <w:left w:w="10" w:type="dxa"/>
          <w:right w:w="10" w:type="dxa"/>
        </w:tblCellMar>
        <w:tblLook w:val="04A0" w:firstRow="1" w:lastRow="0" w:firstColumn="1" w:lastColumn="0" w:noHBand="0" w:noVBand="1"/>
      </w:tblPr>
      <w:tblGrid>
        <w:gridCol w:w="3114"/>
        <w:gridCol w:w="2215"/>
        <w:gridCol w:w="1025"/>
        <w:gridCol w:w="9017"/>
      </w:tblGrid>
      <w:tr w:rsidR="003062B1" w:rsidRPr="00DD77BC" w14:paraId="537CD532" w14:textId="77777777" w:rsidTr="00BD52C4">
        <w:trPr>
          <w:trHeight w:val="850"/>
          <w:tblHeader/>
        </w:trPr>
        <w:tc>
          <w:tcPr>
            <w:tcW w:w="31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746475F3" w14:textId="77777777" w:rsidR="003062B1" w:rsidRPr="00DD77BC" w:rsidRDefault="003062B1" w:rsidP="00336337">
            <w:pPr>
              <w:spacing w:line="240" w:lineRule="auto"/>
              <w:jc w:val="center"/>
              <w:rPr>
                <w:rFonts w:eastAsia="Times New Roman"/>
                <w:i/>
                <w:iCs/>
                <w:sz w:val="20"/>
                <w:szCs w:val="20"/>
                <w:lang w:eastAsia="lv-LV"/>
              </w:rPr>
            </w:pPr>
            <w:r w:rsidRPr="00DD77BC">
              <w:rPr>
                <w:rFonts w:eastAsia="Times New Roman"/>
                <w:i/>
                <w:iCs/>
                <w:sz w:val="20"/>
                <w:szCs w:val="20"/>
                <w:lang w:eastAsia="lv-LV"/>
              </w:rPr>
              <w:t xml:space="preserve">Norādiet, kuri no turpmāk minētajiem vides mērķiem prasa padziļinātu pasākuma novērtējumu no </w:t>
            </w:r>
            <w:r w:rsidR="00336337" w:rsidRPr="00DD77BC">
              <w:rPr>
                <w:rFonts w:eastAsia="Times New Roman"/>
                <w:i/>
                <w:iCs/>
                <w:sz w:val="20"/>
                <w:szCs w:val="20"/>
                <w:lang w:eastAsia="lv-LV"/>
              </w:rPr>
              <w:t xml:space="preserve">principa “Nenodarīt būtisku kaitējumu” (NBK) </w:t>
            </w:r>
            <w:r w:rsidRPr="00DD77BC">
              <w:rPr>
                <w:rFonts w:eastAsia="Times New Roman"/>
                <w:i/>
                <w:iCs/>
                <w:sz w:val="20"/>
                <w:szCs w:val="20"/>
                <w:lang w:eastAsia="lv-LV"/>
              </w:rPr>
              <w:t>viedokļa</w:t>
            </w:r>
          </w:p>
        </w:tc>
        <w:tc>
          <w:tcPr>
            <w:tcW w:w="22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D0DD334" w14:textId="77777777" w:rsidR="003062B1" w:rsidRPr="00DD77BC" w:rsidRDefault="003062B1" w:rsidP="003062B1">
            <w:pPr>
              <w:spacing w:line="240" w:lineRule="auto"/>
              <w:jc w:val="center"/>
              <w:rPr>
                <w:rFonts w:eastAsia="Times New Roman"/>
                <w:b/>
                <w:bCs/>
                <w:sz w:val="20"/>
                <w:szCs w:val="20"/>
                <w:lang w:eastAsia="lv-LV"/>
              </w:rPr>
            </w:pPr>
            <w:r w:rsidRPr="00DD77BC">
              <w:rPr>
                <w:rFonts w:eastAsia="Times New Roman"/>
                <w:b/>
                <w:bCs/>
                <w:sz w:val="20"/>
                <w:szCs w:val="20"/>
                <w:lang w:eastAsia="lv-LV"/>
              </w:rPr>
              <w:t>JĀ</w:t>
            </w:r>
          </w:p>
        </w:tc>
        <w:tc>
          <w:tcPr>
            <w:tcW w:w="10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66C4955" w14:textId="77777777" w:rsidR="003062B1" w:rsidRPr="00DD77BC" w:rsidRDefault="003062B1" w:rsidP="003062B1">
            <w:pPr>
              <w:spacing w:line="240" w:lineRule="auto"/>
              <w:jc w:val="center"/>
              <w:rPr>
                <w:rFonts w:eastAsia="Times New Roman"/>
                <w:b/>
                <w:bCs/>
                <w:sz w:val="20"/>
                <w:szCs w:val="20"/>
                <w:lang w:eastAsia="lv-LV"/>
              </w:rPr>
            </w:pPr>
            <w:r w:rsidRPr="00DD77BC">
              <w:rPr>
                <w:rFonts w:eastAsia="Times New Roman"/>
                <w:b/>
                <w:bCs/>
                <w:sz w:val="20"/>
                <w:szCs w:val="20"/>
                <w:lang w:eastAsia="lv-LV"/>
              </w:rPr>
              <w:t>NĒ</w:t>
            </w:r>
          </w:p>
        </w:tc>
        <w:tc>
          <w:tcPr>
            <w:tcW w:w="90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3461ABF" w14:textId="77777777" w:rsidR="003062B1" w:rsidRPr="00DD77BC" w:rsidRDefault="003062B1" w:rsidP="00336337">
            <w:pPr>
              <w:spacing w:line="240" w:lineRule="auto"/>
              <w:jc w:val="center"/>
              <w:rPr>
                <w:rFonts w:eastAsia="Times New Roman"/>
                <w:b/>
                <w:bCs/>
                <w:sz w:val="20"/>
                <w:szCs w:val="20"/>
                <w:lang w:eastAsia="lv-LV"/>
              </w:rPr>
            </w:pPr>
            <w:r w:rsidRPr="00DD77BC">
              <w:rPr>
                <w:rFonts w:eastAsia="Times New Roman"/>
                <w:b/>
                <w:bCs/>
                <w:sz w:val="20"/>
                <w:szCs w:val="20"/>
                <w:lang w:eastAsia="lv-LV"/>
              </w:rPr>
              <w:t xml:space="preserve">Pamatojums, ja novērtējums ir </w:t>
            </w:r>
            <w:r w:rsidR="00336337" w:rsidRPr="00DD77BC">
              <w:rPr>
                <w:rFonts w:eastAsia="Times New Roman"/>
                <w:b/>
                <w:bCs/>
                <w:sz w:val="20"/>
                <w:szCs w:val="20"/>
                <w:lang w:eastAsia="lv-LV"/>
              </w:rPr>
              <w:t>“</w:t>
            </w:r>
            <w:r w:rsidRPr="00DD77BC">
              <w:rPr>
                <w:rFonts w:eastAsia="Times New Roman"/>
                <w:b/>
                <w:bCs/>
                <w:sz w:val="20"/>
                <w:szCs w:val="20"/>
                <w:lang w:eastAsia="lv-LV"/>
              </w:rPr>
              <w:t>NĒ</w:t>
            </w:r>
            <w:r w:rsidR="00336337" w:rsidRPr="00DD77BC">
              <w:rPr>
                <w:rFonts w:eastAsia="Times New Roman"/>
                <w:b/>
                <w:bCs/>
                <w:sz w:val="20"/>
                <w:szCs w:val="20"/>
                <w:lang w:eastAsia="lv-LV"/>
              </w:rPr>
              <w:t>”</w:t>
            </w:r>
          </w:p>
        </w:tc>
      </w:tr>
      <w:tr w:rsidR="003062B1" w:rsidRPr="00DD77BC" w14:paraId="4901E519" w14:textId="77777777" w:rsidTr="00BD52C4">
        <w:trPr>
          <w:trHeight w:val="283"/>
        </w:trPr>
        <w:tc>
          <w:tcPr>
            <w:tcW w:w="3114"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770BC7C3" w14:textId="77777777" w:rsidR="003062B1" w:rsidRPr="00DD77BC" w:rsidRDefault="003062B1" w:rsidP="003D3BA2">
            <w:pPr>
              <w:spacing w:line="240" w:lineRule="auto"/>
              <w:ind w:left="330" w:hanging="330"/>
              <w:rPr>
                <w:rFonts w:eastAsia="Times New Roman"/>
                <w:b/>
                <w:bCs/>
                <w:sz w:val="20"/>
                <w:szCs w:val="20"/>
                <w:lang w:eastAsia="lv-LV"/>
              </w:rPr>
            </w:pPr>
            <w:r w:rsidRPr="00DD77BC">
              <w:rPr>
                <w:rFonts w:eastAsia="Times New Roman"/>
                <w:b/>
                <w:bCs/>
                <w:sz w:val="20"/>
                <w:szCs w:val="20"/>
                <w:lang w:eastAsia="lv-LV"/>
              </w:rPr>
              <w:t xml:space="preserve">Klimata pārmaiņu mazināšana </w:t>
            </w:r>
          </w:p>
        </w:tc>
        <w:tc>
          <w:tcPr>
            <w:tcW w:w="221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9FB7390" w14:textId="55995EE4" w:rsidR="003062B1" w:rsidRPr="00DD77BC" w:rsidRDefault="00CF55CF" w:rsidP="00CF55CF">
            <w:pPr>
              <w:spacing w:line="240" w:lineRule="auto"/>
              <w:jc w:val="center"/>
              <w:rPr>
                <w:rFonts w:eastAsia="Times New Roman"/>
                <w:b/>
                <w:bCs/>
                <w:sz w:val="20"/>
                <w:szCs w:val="20"/>
                <w:lang w:eastAsia="lv-LV"/>
              </w:rPr>
            </w:pPr>
            <w:r w:rsidRPr="00DD77BC">
              <w:rPr>
                <w:rFonts w:eastAsia="Times New Roman"/>
                <w:b/>
                <w:bCs/>
                <w:sz w:val="20"/>
                <w:szCs w:val="20"/>
                <w:lang w:eastAsia="lv-LV"/>
              </w:rPr>
              <w:t>X</w:t>
            </w:r>
          </w:p>
        </w:tc>
        <w:tc>
          <w:tcPr>
            <w:tcW w:w="102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E8D0831" w14:textId="77777777" w:rsidR="003062B1" w:rsidRPr="00DD77BC" w:rsidRDefault="003062B1" w:rsidP="003D3BA2">
            <w:pPr>
              <w:spacing w:line="240" w:lineRule="auto"/>
              <w:rPr>
                <w:rFonts w:eastAsia="Times New Roman"/>
                <w:b/>
                <w:bCs/>
                <w:sz w:val="20"/>
                <w:szCs w:val="20"/>
                <w:lang w:eastAsia="lv-LV"/>
              </w:rPr>
            </w:pPr>
          </w:p>
        </w:tc>
        <w:tc>
          <w:tcPr>
            <w:tcW w:w="90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380386F" w14:textId="77777777" w:rsidR="003062B1" w:rsidRPr="00DD77BC" w:rsidRDefault="003062B1" w:rsidP="003D3BA2">
            <w:pPr>
              <w:spacing w:line="240" w:lineRule="auto"/>
              <w:rPr>
                <w:rFonts w:eastAsiaTheme="minorEastAsia"/>
                <w:sz w:val="20"/>
                <w:szCs w:val="20"/>
              </w:rPr>
            </w:pPr>
          </w:p>
        </w:tc>
      </w:tr>
      <w:tr w:rsidR="003062B1" w:rsidRPr="00DD77BC" w14:paraId="14B50890" w14:textId="77777777" w:rsidTr="00BD52C4">
        <w:trPr>
          <w:trHeight w:val="262"/>
        </w:trPr>
        <w:tc>
          <w:tcPr>
            <w:tcW w:w="3114"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8BEC3B3" w14:textId="77777777" w:rsidR="003062B1" w:rsidRPr="00DD77BC" w:rsidRDefault="003062B1" w:rsidP="003D3BA2">
            <w:pPr>
              <w:spacing w:line="240" w:lineRule="auto"/>
              <w:rPr>
                <w:rFonts w:eastAsia="Times New Roman"/>
                <w:b/>
                <w:bCs/>
                <w:sz w:val="20"/>
                <w:szCs w:val="20"/>
                <w:lang w:eastAsia="lv-LV"/>
              </w:rPr>
            </w:pPr>
            <w:r w:rsidRPr="00DD77BC">
              <w:rPr>
                <w:rFonts w:eastAsia="Times New Roman"/>
                <w:b/>
                <w:bCs/>
                <w:sz w:val="20"/>
                <w:szCs w:val="20"/>
                <w:lang w:eastAsia="lv-LV"/>
              </w:rPr>
              <w:t>Pielāgošanas klimata pārmaiņām</w:t>
            </w:r>
          </w:p>
        </w:tc>
        <w:tc>
          <w:tcPr>
            <w:tcW w:w="221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9669F23" w14:textId="77DA3108" w:rsidR="003062B1" w:rsidRPr="00DD77BC" w:rsidRDefault="00CF55CF" w:rsidP="00CF55CF">
            <w:pPr>
              <w:spacing w:line="240" w:lineRule="auto"/>
              <w:jc w:val="center"/>
              <w:rPr>
                <w:rFonts w:eastAsia="Times New Roman"/>
                <w:b/>
                <w:bCs/>
                <w:sz w:val="20"/>
                <w:szCs w:val="20"/>
                <w:lang w:eastAsia="lv-LV"/>
              </w:rPr>
            </w:pPr>
            <w:r w:rsidRPr="00DD77BC">
              <w:rPr>
                <w:rFonts w:eastAsia="Times New Roman"/>
                <w:b/>
                <w:bCs/>
                <w:sz w:val="20"/>
                <w:szCs w:val="20"/>
                <w:lang w:eastAsia="lv-LV"/>
              </w:rPr>
              <w:t>X</w:t>
            </w:r>
          </w:p>
        </w:tc>
        <w:tc>
          <w:tcPr>
            <w:tcW w:w="10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70F3FE3E" w14:textId="77777777" w:rsidR="003062B1" w:rsidRPr="00DD77BC" w:rsidRDefault="003062B1" w:rsidP="003D3BA2">
            <w:pPr>
              <w:spacing w:line="240" w:lineRule="auto"/>
              <w:jc w:val="center"/>
              <w:rPr>
                <w:rFonts w:eastAsia="Times New Roman"/>
                <w:b/>
                <w:bCs/>
                <w:sz w:val="20"/>
                <w:szCs w:val="20"/>
                <w:lang w:eastAsia="lv-LV"/>
              </w:rPr>
            </w:pPr>
          </w:p>
        </w:tc>
        <w:tc>
          <w:tcPr>
            <w:tcW w:w="901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B6D8C87" w14:textId="77777777" w:rsidR="003062B1" w:rsidRPr="00DD77BC" w:rsidRDefault="003062B1" w:rsidP="003D3BA2">
            <w:pPr>
              <w:spacing w:line="240" w:lineRule="auto"/>
              <w:jc w:val="both"/>
              <w:rPr>
                <w:rFonts w:eastAsia="Times New Roman"/>
                <w:sz w:val="20"/>
                <w:szCs w:val="20"/>
                <w:lang w:eastAsia="lv-LV"/>
              </w:rPr>
            </w:pPr>
          </w:p>
        </w:tc>
      </w:tr>
      <w:tr w:rsidR="003062B1" w:rsidRPr="00DD77BC" w14:paraId="65AC6CDE" w14:textId="77777777" w:rsidTr="00BD52C4">
        <w:trPr>
          <w:trHeight w:val="361"/>
        </w:trPr>
        <w:tc>
          <w:tcPr>
            <w:tcW w:w="3114"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001636E9" w14:textId="77777777" w:rsidR="003062B1" w:rsidRPr="00DD77BC" w:rsidRDefault="003062B1" w:rsidP="003D3BA2">
            <w:pPr>
              <w:spacing w:line="240" w:lineRule="auto"/>
              <w:jc w:val="both"/>
              <w:rPr>
                <w:rFonts w:eastAsia="Times New Roman"/>
                <w:b/>
                <w:bCs/>
                <w:sz w:val="20"/>
                <w:szCs w:val="20"/>
                <w:lang w:eastAsia="lv-LV"/>
              </w:rPr>
            </w:pPr>
            <w:r w:rsidRPr="00DD77BC">
              <w:rPr>
                <w:rFonts w:eastAsia="Times New Roman"/>
                <w:b/>
                <w:bCs/>
                <w:sz w:val="20"/>
                <w:szCs w:val="20"/>
                <w:lang w:eastAsia="lv-LV"/>
              </w:rPr>
              <w:t>Ūdens un jūras resursu ilgtspējīga izmantošana un aizsardzība</w:t>
            </w:r>
          </w:p>
        </w:tc>
        <w:tc>
          <w:tcPr>
            <w:tcW w:w="221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F453DC4" w14:textId="089808CE" w:rsidR="003062B1" w:rsidRPr="00DD77BC" w:rsidRDefault="00CF55CF" w:rsidP="00CF55CF">
            <w:pPr>
              <w:spacing w:line="240" w:lineRule="auto"/>
              <w:jc w:val="center"/>
              <w:rPr>
                <w:rFonts w:eastAsia="Times New Roman"/>
                <w:b/>
                <w:bCs/>
                <w:sz w:val="20"/>
                <w:szCs w:val="20"/>
                <w:lang w:eastAsia="lv-LV"/>
              </w:rPr>
            </w:pPr>
            <w:r w:rsidRPr="00DD77BC">
              <w:rPr>
                <w:rFonts w:eastAsia="Times New Roman"/>
                <w:b/>
                <w:bCs/>
                <w:sz w:val="20"/>
                <w:szCs w:val="20"/>
                <w:lang w:eastAsia="lv-LV"/>
              </w:rPr>
              <w:t>X</w:t>
            </w:r>
          </w:p>
        </w:tc>
        <w:tc>
          <w:tcPr>
            <w:tcW w:w="102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E5F8017" w14:textId="77777777" w:rsidR="003062B1" w:rsidRPr="00DD77BC" w:rsidRDefault="003062B1" w:rsidP="003D3BA2">
            <w:pPr>
              <w:spacing w:line="240" w:lineRule="auto"/>
              <w:jc w:val="center"/>
              <w:rPr>
                <w:rFonts w:eastAsia="Times New Roman"/>
                <w:b/>
                <w:bCs/>
                <w:sz w:val="20"/>
                <w:szCs w:val="20"/>
                <w:lang w:eastAsia="lv-LV"/>
              </w:rPr>
            </w:pPr>
          </w:p>
        </w:tc>
        <w:tc>
          <w:tcPr>
            <w:tcW w:w="90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40C1CB98" w14:textId="77777777" w:rsidR="003062B1" w:rsidRPr="00DD77BC" w:rsidRDefault="003062B1" w:rsidP="003D3BA2">
            <w:pPr>
              <w:spacing w:line="240" w:lineRule="auto"/>
              <w:jc w:val="both"/>
              <w:rPr>
                <w:sz w:val="20"/>
                <w:szCs w:val="20"/>
              </w:rPr>
            </w:pPr>
          </w:p>
        </w:tc>
      </w:tr>
      <w:tr w:rsidR="003062B1" w:rsidRPr="00DD77BC" w14:paraId="09FC97E5" w14:textId="77777777" w:rsidTr="00BD52C4">
        <w:trPr>
          <w:trHeight w:val="366"/>
        </w:trPr>
        <w:tc>
          <w:tcPr>
            <w:tcW w:w="3114"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2D97B02" w14:textId="77777777" w:rsidR="003062B1" w:rsidRPr="00DD77BC" w:rsidRDefault="003062B1" w:rsidP="003D3BA2">
            <w:pPr>
              <w:spacing w:line="240" w:lineRule="auto"/>
              <w:jc w:val="both"/>
              <w:rPr>
                <w:rFonts w:eastAsia="Times New Roman"/>
                <w:b/>
                <w:bCs/>
                <w:sz w:val="20"/>
                <w:szCs w:val="20"/>
                <w:lang w:eastAsia="lv-LV"/>
              </w:rPr>
            </w:pPr>
            <w:r w:rsidRPr="00DD77BC">
              <w:rPr>
                <w:rFonts w:eastAsia="Times New Roman"/>
                <w:b/>
                <w:bCs/>
                <w:sz w:val="20"/>
                <w:szCs w:val="20"/>
                <w:lang w:eastAsia="lv-LV"/>
              </w:rPr>
              <w:t>Aprites ekonomika, tostarp atkritumu rašanās novēršana un pārstrāde</w:t>
            </w:r>
          </w:p>
        </w:tc>
        <w:tc>
          <w:tcPr>
            <w:tcW w:w="221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C50C6F5" w14:textId="4B9674EB" w:rsidR="003062B1" w:rsidRPr="00DD77BC" w:rsidRDefault="00CF55CF" w:rsidP="00CF55CF">
            <w:pPr>
              <w:spacing w:line="240" w:lineRule="auto"/>
              <w:jc w:val="center"/>
              <w:rPr>
                <w:rFonts w:eastAsia="Times New Roman"/>
                <w:b/>
                <w:bCs/>
                <w:sz w:val="20"/>
                <w:szCs w:val="20"/>
                <w:lang w:eastAsia="lv-LV"/>
              </w:rPr>
            </w:pPr>
            <w:r w:rsidRPr="00DD77BC">
              <w:rPr>
                <w:rFonts w:eastAsia="Times New Roman"/>
                <w:b/>
                <w:bCs/>
                <w:sz w:val="20"/>
                <w:szCs w:val="20"/>
                <w:lang w:eastAsia="lv-LV"/>
              </w:rPr>
              <w:t>X</w:t>
            </w:r>
          </w:p>
        </w:tc>
        <w:tc>
          <w:tcPr>
            <w:tcW w:w="102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1ED6692" w14:textId="77777777" w:rsidR="003062B1" w:rsidRPr="00DD77BC" w:rsidRDefault="003062B1" w:rsidP="003D3BA2">
            <w:pPr>
              <w:spacing w:line="240" w:lineRule="auto"/>
              <w:jc w:val="center"/>
              <w:rPr>
                <w:rFonts w:eastAsia="Times New Roman"/>
                <w:b/>
                <w:bCs/>
                <w:sz w:val="20"/>
                <w:szCs w:val="20"/>
                <w:lang w:eastAsia="lv-LV"/>
              </w:rPr>
            </w:pPr>
          </w:p>
        </w:tc>
        <w:tc>
          <w:tcPr>
            <w:tcW w:w="901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B84A00A" w14:textId="77777777" w:rsidR="003062B1" w:rsidRPr="00DD77BC" w:rsidRDefault="003062B1" w:rsidP="003D3BA2">
            <w:pPr>
              <w:spacing w:line="240" w:lineRule="auto"/>
              <w:jc w:val="both"/>
              <w:rPr>
                <w:rFonts w:eastAsia="Times New Roman"/>
                <w:sz w:val="20"/>
                <w:szCs w:val="20"/>
                <w:lang w:eastAsia="lv-LV"/>
              </w:rPr>
            </w:pPr>
          </w:p>
        </w:tc>
      </w:tr>
      <w:tr w:rsidR="003062B1" w:rsidRPr="00DD77BC" w14:paraId="20BF21C8" w14:textId="77777777" w:rsidTr="00BD52C4">
        <w:trPr>
          <w:trHeight w:val="359"/>
        </w:trPr>
        <w:tc>
          <w:tcPr>
            <w:tcW w:w="3114"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A5BF420" w14:textId="77777777" w:rsidR="003062B1" w:rsidRPr="00DD77BC" w:rsidRDefault="003062B1" w:rsidP="003D3BA2">
            <w:pPr>
              <w:spacing w:line="240" w:lineRule="auto"/>
              <w:jc w:val="both"/>
              <w:rPr>
                <w:rFonts w:eastAsia="Times New Roman"/>
                <w:b/>
                <w:bCs/>
                <w:sz w:val="20"/>
                <w:szCs w:val="20"/>
                <w:lang w:eastAsia="lv-LV"/>
              </w:rPr>
            </w:pPr>
            <w:r w:rsidRPr="00DD77BC">
              <w:rPr>
                <w:rFonts w:eastAsia="Times New Roman"/>
                <w:b/>
                <w:bCs/>
                <w:sz w:val="20"/>
                <w:szCs w:val="20"/>
                <w:lang w:eastAsia="lv-LV"/>
              </w:rPr>
              <w:t>Piesārņojuma novēršana un to kontrole gaisā, ūdenī vai zemē</w:t>
            </w:r>
          </w:p>
        </w:tc>
        <w:tc>
          <w:tcPr>
            <w:tcW w:w="221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4B1317C" w14:textId="66102A0B" w:rsidR="003062B1" w:rsidRPr="00DD77BC" w:rsidRDefault="00CF55CF" w:rsidP="00CF55CF">
            <w:pPr>
              <w:spacing w:line="240" w:lineRule="auto"/>
              <w:jc w:val="center"/>
              <w:rPr>
                <w:rFonts w:eastAsia="Times New Roman"/>
                <w:b/>
                <w:bCs/>
                <w:sz w:val="20"/>
                <w:szCs w:val="20"/>
                <w:lang w:eastAsia="lv-LV"/>
              </w:rPr>
            </w:pPr>
            <w:r w:rsidRPr="00DD77BC">
              <w:rPr>
                <w:rFonts w:eastAsia="Times New Roman"/>
                <w:b/>
                <w:bCs/>
                <w:sz w:val="20"/>
                <w:szCs w:val="20"/>
                <w:lang w:eastAsia="lv-LV"/>
              </w:rPr>
              <w:t>X</w:t>
            </w:r>
          </w:p>
        </w:tc>
        <w:tc>
          <w:tcPr>
            <w:tcW w:w="102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CC45549" w14:textId="77777777" w:rsidR="003062B1" w:rsidRPr="00DD77BC" w:rsidRDefault="003062B1" w:rsidP="003D3BA2">
            <w:pPr>
              <w:spacing w:line="240" w:lineRule="auto"/>
              <w:jc w:val="center"/>
              <w:rPr>
                <w:rFonts w:eastAsia="Times New Roman"/>
                <w:b/>
                <w:bCs/>
                <w:sz w:val="20"/>
                <w:szCs w:val="20"/>
                <w:lang w:eastAsia="lv-LV"/>
              </w:rPr>
            </w:pPr>
          </w:p>
        </w:tc>
        <w:tc>
          <w:tcPr>
            <w:tcW w:w="901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308B972" w14:textId="77777777" w:rsidR="003062B1" w:rsidRPr="00DD77BC" w:rsidRDefault="003062B1" w:rsidP="003D3BA2">
            <w:pPr>
              <w:spacing w:line="240" w:lineRule="auto"/>
              <w:jc w:val="both"/>
              <w:rPr>
                <w:rFonts w:eastAsia="Times New Roman"/>
                <w:sz w:val="20"/>
                <w:szCs w:val="20"/>
                <w:lang w:eastAsia="lv-LV"/>
              </w:rPr>
            </w:pPr>
          </w:p>
        </w:tc>
      </w:tr>
      <w:tr w:rsidR="003062B1" w:rsidRPr="00DD77BC" w14:paraId="5CEFA144" w14:textId="77777777" w:rsidTr="00BD52C4">
        <w:trPr>
          <w:trHeight w:val="364"/>
        </w:trPr>
        <w:tc>
          <w:tcPr>
            <w:tcW w:w="3114"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F7FC78D" w14:textId="77777777" w:rsidR="003062B1" w:rsidRPr="00DD77BC" w:rsidRDefault="003062B1" w:rsidP="003D3BA2">
            <w:pPr>
              <w:spacing w:line="240" w:lineRule="auto"/>
              <w:jc w:val="both"/>
              <w:rPr>
                <w:rFonts w:eastAsia="Times New Roman"/>
                <w:b/>
                <w:bCs/>
                <w:sz w:val="20"/>
                <w:szCs w:val="20"/>
                <w:lang w:eastAsia="lv-LV"/>
              </w:rPr>
            </w:pPr>
            <w:r w:rsidRPr="00DD77BC">
              <w:rPr>
                <w:rFonts w:eastAsia="Times New Roman"/>
                <w:b/>
                <w:bCs/>
                <w:sz w:val="20"/>
                <w:szCs w:val="20"/>
                <w:lang w:eastAsia="lv-LV"/>
              </w:rPr>
              <w:t>Bioloģiskās daudzveidības un ekosistēmu aizsardzība un atjaunošana</w:t>
            </w:r>
          </w:p>
        </w:tc>
        <w:tc>
          <w:tcPr>
            <w:tcW w:w="221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4175A84" w14:textId="1529DD90" w:rsidR="003062B1" w:rsidRPr="00DD77BC" w:rsidRDefault="00CF55CF" w:rsidP="00CF55CF">
            <w:pPr>
              <w:spacing w:line="240" w:lineRule="auto"/>
              <w:jc w:val="center"/>
              <w:rPr>
                <w:rFonts w:eastAsia="Times New Roman"/>
                <w:b/>
                <w:bCs/>
                <w:sz w:val="20"/>
                <w:szCs w:val="20"/>
                <w:lang w:eastAsia="lv-LV"/>
              </w:rPr>
            </w:pPr>
            <w:r w:rsidRPr="00DD77BC">
              <w:rPr>
                <w:rFonts w:eastAsia="Times New Roman"/>
                <w:b/>
                <w:bCs/>
                <w:sz w:val="20"/>
                <w:szCs w:val="20"/>
                <w:lang w:eastAsia="lv-LV"/>
              </w:rPr>
              <w:t>X</w:t>
            </w:r>
          </w:p>
        </w:tc>
        <w:tc>
          <w:tcPr>
            <w:tcW w:w="102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EF8622E" w14:textId="77777777" w:rsidR="003062B1" w:rsidRPr="00DD77BC" w:rsidRDefault="003062B1" w:rsidP="003D3BA2">
            <w:pPr>
              <w:spacing w:line="240" w:lineRule="auto"/>
              <w:jc w:val="center"/>
              <w:rPr>
                <w:rFonts w:eastAsia="Times New Roman"/>
                <w:b/>
                <w:bCs/>
                <w:sz w:val="20"/>
                <w:szCs w:val="20"/>
                <w:lang w:eastAsia="lv-LV"/>
              </w:rPr>
            </w:pPr>
          </w:p>
        </w:tc>
        <w:tc>
          <w:tcPr>
            <w:tcW w:w="901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29DB4B97" w14:textId="77777777" w:rsidR="003062B1" w:rsidRPr="00DD77BC" w:rsidRDefault="003062B1" w:rsidP="003D3BA2">
            <w:pPr>
              <w:spacing w:line="240" w:lineRule="auto"/>
              <w:jc w:val="both"/>
              <w:rPr>
                <w:rFonts w:eastAsia="Times New Roman"/>
                <w:sz w:val="20"/>
                <w:szCs w:val="20"/>
                <w:lang w:eastAsia="lv-LV"/>
              </w:rPr>
            </w:pPr>
          </w:p>
        </w:tc>
      </w:tr>
    </w:tbl>
    <w:p w14:paraId="700A9D7E" w14:textId="77777777" w:rsidR="003062B1" w:rsidRPr="00DD77BC" w:rsidRDefault="003062B1" w:rsidP="003062B1">
      <w:pPr>
        <w:spacing w:line="240" w:lineRule="auto"/>
        <w:rPr>
          <w:rFonts w:eastAsia="Times New Roman"/>
          <w:b/>
          <w:sz w:val="20"/>
          <w:szCs w:val="20"/>
        </w:rPr>
      </w:pPr>
    </w:p>
    <w:p w14:paraId="6248EB46" w14:textId="77777777" w:rsidR="003062B1" w:rsidRPr="00DD77BC" w:rsidRDefault="003062B1" w:rsidP="003062B1">
      <w:pPr>
        <w:spacing w:line="240" w:lineRule="auto"/>
        <w:rPr>
          <w:rFonts w:eastAsia="Times New Roman"/>
          <w:b/>
          <w:sz w:val="20"/>
          <w:szCs w:val="20"/>
        </w:rPr>
      </w:pPr>
    </w:p>
    <w:p w14:paraId="2276CA0D" w14:textId="77777777" w:rsidR="003062B1" w:rsidRPr="00DD77BC" w:rsidRDefault="003062B1" w:rsidP="003062B1">
      <w:pPr>
        <w:spacing w:line="240" w:lineRule="auto"/>
        <w:rPr>
          <w:rFonts w:eastAsia="Times New Roman"/>
          <w:b/>
          <w:sz w:val="20"/>
          <w:szCs w:val="20"/>
        </w:rPr>
      </w:pPr>
      <w:r w:rsidRPr="00DD77BC">
        <w:rPr>
          <w:rFonts w:eastAsia="Times New Roman"/>
          <w:b/>
          <w:sz w:val="20"/>
          <w:szCs w:val="20"/>
        </w:rPr>
        <w:t>Novērtējuma 2.daļa</w:t>
      </w:r>
    </w:p>
    <w:tbl>
      <w:tblPr>
        <w:tblW w:w="15304" w:type="dxa"/>
        <w:tblLayout w:type="fixed"/>
        <w:tblCellMar>
          <w:left w:w="10" w:type="dxa"/>
          <w:right w:w="10" w:type="dxa"/>
        </w:tblCellMar>
        <w:tblLook w:val="04A0" w:firstRow="1" w:lastRow="0" w:firstColumn="1" w:lastColumn="0" w:noHBand="0" w:noVBand="1"/>
      </w:tblPr>
      <w:tblGrid>
        <w:gridCol w:w="2977"/>
        <w:gridCol w:w="709"/>
        <w:gridCol w:w="11618"/>
      </w:tblGrid>
      <w:tr w:rsidR="00336337" w:rsidRPr="00DD77BC" w14:paraId="3F92F972" w14:textId="77777777" w:rsidTr="3013ECA5">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42322499" w14:textId="77777777" w:rsidR="00336337" w:rsidRPr="00DD77BC" w:rsidRDefault="00336337" w:rsidP="00336337">
            <w:pPr>
              <w:spacing w:line="240" w:lineRule="auto"/>
              <w:jc w:val="center"/>
              <w:rPr>
                <w:rFonts w:eastAsia="Times New Roman"/>
                <w:b/>
                <w:bCs/>
                <w:sz w:val="20"/>
                <w:szCs w:val="20"/>
                <w:lang w:eastAsia="lv-LV"/>
              </w:rPr>
            </w:pPr>
            <w:r w:rsidRPr="00DD77BC">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18B2CD30" w14:textId="77777777" w:rsidR="00336337" w:rsidRPr="00DD77BC" w:rsidRDefault="00336337" w:rsidP="003062B1">
            <w:pPr>
              <w:spacing w:line="240" w:lineRule="auto"/>
              <w:jc w:val="center"/>
              <w:rPr>
                <w:rFonts w:eastAsia="Times New Roman"/>
                <w:b/>
                <w:bCs/>
                <w:sz w:val="20"/>
                <w:szCs w:val="20"/>
                <w:lang w:eastAsia="lv-LV"/>
              </w:rPr>
            </w:pPr>
            <w:r w:rsidRPr="00DD77BC">
              <w:rPr>
                <w:rFonts w:eastAsia="Times New Roman"/>
                <w:b/>
                <w:bCs/>
                <w:sz w:val="20"/>
                <w:szCs w:val="20"/>
                <w:lang w:eastAsia="lv-LV"/>
              </w:rPr>
              <w:t>NĒ</w:t>
            </w:r>
            <w:r w:rsidR="00AC65B8" w:rsidRPr="00DD77BC">
              <w:rPr>
                <w:rStyle w:val="FootnoteReference"/>
                <w:rFonts w:eastAsia="Times New Roman"/>
                <w:b/>
                <w:bCs/>
                <w:sz w:val="20"/>
                <w:szCs w:val="20"/>
                <w:lang w:eastAsia="lv-LV"/>
              </w:rPr>
              <w:footnoteReference w:id="2"/>
            </w:r>
          </w:p>
        </w:tc>
        <w:tc>
          <w:tcPr>
            <w:tcW w:w="116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1E76687B" w14:textId="77777777" w:rsidR="00336337" w:rsidRPr="00DD77BC" w:rsidRDefault="00336337" w:rsidP="00336337">
            <w:pPr>
              <w:spacing w:line="240" w:lineRule="auto"/>
              <w:jc w:val="center"/>
              <w:rPr>
                <w:rFonts w:eastAsia="Times New Roman"/>
                <w:b/>
                <w:bCs/>
                <w:sz w:val="20"/>
                <w:szCs w:val="20"/>
                <w:lang w:eastAsia="lv-LV"/>
              </w:rPr>
            </w:pPr>
            <w:r w:rsidRPr="00DD77BC">
              <w:rPr>
                <w:rFonts w:eastAsia="Times New Roman"/>
                <w:b/>
                <w:bCs/>
                <w:sz w:val="20"/>
                <w:szCs w:val="20"/>
                <w:lang w:eastAsia="lv-LV"/>
              </w:rPr>
              <w:t>Detalizēts izvērtējums (ja novērtējuma 1.daļā novērtējums ir “JĀ”)</w:t>
            </w:r>
          </w:p>
        </w:tc>
      </w:tr>
      <w:tr w:rsidR="00336337" w:rsidRPr="00DD77BC" w14:paraId="1D479873" w14:textId="77777777" w:rsidTr="3013ECA5">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4785E30" w14:textId="77777777" w:rsidR="00336337" w:rsidRPr="00DD77BC" w:rsidRDefault="00336337" w:rsidP="00336337">
            <w:pPr>
              <w:spacing w:line="240" w:lineRule="auto"/>
              <w:jc w:val="both"/>
              <w:rPr>
                <w:sz w:val="20"/>
                <w:szCs w:val="20"/>
              </w:rPr>
            </w:pPr>
            <w:r w:rsidRPr="00DD77BC">
              <w:rPr>
                <w:rFonts w:eastAsia="Times New Roman"/>
                <w:b/>
                <w:bCs/>
                <w:sz w:val="20"/>
                <w:szCs w:val="20"/>
                <w:lang w:eastAsia="lv-LV"/>
              </w:rPr>
              <w:t xml:space="preserve">Klimata pārmaiņu mazināšana. </w:t>
            </w:r>
            <w:r w:rsidRPr="00DD77BC">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8C20DC3" w14:textId="6A9C152C" w:rsidR="00336337" w:rsidRPr="00DD77BC" w:rsidRDefault="000D4AF1" w:rsidP="003D3BA2">
            <w:pPr>
              <w:spacing w:line="240" w:lineRule="auto"/>
              <w:jc w:val="center"/>
              <w:rPr>
                <w:rFonts w:eastAsia="Times New Roman"/>
                <w:b/>
                <w:bCs/>
                <w:sz w:val="20"/>
                <w:szCs w:val="20"/>
                <w:lang w:eastAsia="lv-LV"/>
              </w:rPr>
            </w:pPr>
            <w:r w:rsidRPr="00DD77BC">
              <w:rPr>
                <w:rFonts w:eastAsia="Times New Roman"/>
                <w:b/>
                <w:bCs/>
                <w:sz w:val="20"/>
                <w:szCs w:val="20"/>
                <w:lang w:eastAsia="lv-LV"/>
              </w:rPr>
              <w:t>X</w:t>
            </w:r>
          </w:p>
        </w:tc>
        <w:tc>
          <w:tcPr>
            <w:tcW w:w="1161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516D366" w14:textId="77777777" w:rsidR="003845E7" w:rsidRPr="00DD77BC" w:rsidRDefault="003845E7" w:rsidP="003845E7">
            <w:pPr>
              <w:spacing w:line="240" w:lineRule="auto"/>
              <w:rPr>
                <w:rFonts w:eastAsia="Times New Roman"/>
                <w:sz w:val="20"/>
                <w:szCs w:val="20"/>
                <w:lang w:eastAsia="lv-LV"/>
              </w:rPr>
            </w:pPr>
            <w:r w:rsidRPr="00DD77BC">
              <w:rPr>
                <w:rFonts w:eastAsia="Calibri"/>
                <w:b/>
                <w:bCs/>
                <w:sz w:val="20"/>
                <w:szCs w:val="20"/>
              </w:rPr>
              <w:t>Ietekme uz SEG emisijām</w:t>
            </w:r>
          </w:p>
          <w:p w14:paraId="260024B7" w14:textId="3912DF91" w:rsidR="00F83BE1" w:rsidRPr="00DD77BC" w:rsidRDefault="5841FB71" w:rsidP="3013ECA5">
            <w:pPr>
              <w:pStyle w:val="ListParagraph"/>
              <w:numPr>
                <w:ilvl w:val="0"/>
                <w:numId w:val="6"/>
              </w:numPr>
              <w:spacing w:line="240" w:lineRule="auto"/>
              <w:jc w:val="both"/>
              <w:rPr>
                <w:rFonts w:asciiTheme="minorHAnsi" w:eastAsiaTheme="minorEastAsia" w:hAnsiTheme="minorHAnsi"/>
                <w:sz w:val="20"/>
                <w:szCs w:val="20"/>
                <w:lang w:val="lv-LV"/>
              </w:rPr>
            </w:pPr>
            <w:r w:rsidRPr="00DD77BC">
              <w:rPr>
                <w:rFonts w:ascii="Times New Roman" w:eastAsia="Calibri" w:hAnsi="Times New Roman" w:cs="Times New Roman"/>
                <w:sz w:val="20"/>
                <w:szCs w:val="20"/>
                <w:u w:val="single"/>
                <w:lang w:val="lv-LV"/>
              </w:rPr>
              <w:t>Plānotās investīcijas neparedz būtisku SEG emisiju pieaugumu.</w:t>
            </w:r>
            <w:r w:rsidRPr="00DD77BC">
              <w:rPr>
                <w:rFonts w:ascii="Times New Roman" w:eastAsia="Calibri" w:hAnsi="Times New Roman" w:cs="Times New Roman"/>
                <w:sz w:val="20"/>
                <w:szCs w:val="20"/>
                <w:lang w:val="lv-LV"/>
              </w:rPr>
              <w:t xml:space="preserve"> Ņemot vērā, ka </w:t>
            </w:r>
            <w:r w:rsidR="3B1381DE" w:rsidRPr="00DD77BC">
              <w:rPr>
                <w:rFonts w:ascii="Times New Roman" w:eastAsia="Calibri" w:hAnsi="Times New Roman" w:cs="Times New Roman"/>
                <w:sz w:val="20"/>
                <w:szCs w:val="20"/>
                <w:lang w:val="lv-LV"/>
              </w:rPr>
              <w:t>jaunās</w:t>
            </w:r>
            <w:r w:rsidR="00964036" w:rsidRPr="00DD77BC">
              <w:rPr>
                <w:rFonts w:ascii="Times New Roman" w:eastAsia="Calibri" w:hAnsi="Times New Roman" w:cs="Times New Roman"/>
                <w:sz w:val="20"/>
                <w:szCs w:val="20"/>
                <w:lang w:val="lv-LV"/>
              </w:rPr>
              <w:t xml:space="preserve"> </w:t>
            </w:r>
            <w:r w:rsidR="3B1381DE" w:rsidRPr="00DD77BC">
              <w:rPr>
                <w:rFonts w:ascii="Times New Roman" w:eastAsia="Calibri" w:hAnsi="Times New Roman" w:cs="Times New Roman"/>
                <w:sz w:val="20"/>
                <w:szCs w:val="20"/>
                <w:lang w:val="lv-LV"/>
              </w:rPr>
              <w:t>pašvaldību sociālās un īres dzīvokļu dzīvojamās mājas</w:t>
            </w:r>
            <w:r w:rsidRPr="00DD77BC">
              <w:rPr>
                <w:rFonts w:ascii="Times New Roman" w:eastAsia="Calibri" w:hAnsi="Times New Roman" w:cs="Times New Roman"/>
                <w:sz w:val="20"/>
                <w:szCs w:val="20"/>
                <w:lang w:val="lv-LV"/>
              </w:rPr>
              <w:t xml:space="preserve"> tiks </w:t>
            </w:r>
            <w:r w:rsidR="1A1B2CB0" w:rsidRPr="00DD77BC">
              <w:rPr>
                <w:rFonts w:ascii="Times New Roman" w:eastAsia="Calibri" w:hAnsi="Times New Roman" w:cs="Times New Roman"/>
                <w:sz w:val="20"/>
                <w:szCs w:val="20"/>
                <w:lang w:val="lv-LV"/>
              </w:rPr>
              <w:t>būvētas</w:t>
            </w:r>
            <w:r w:rsidRPr="00DD77BC">
              <w:rPr>
                <w:rFonts w:ascii="Times New Roman" w:eastAsia="Calibri" w:hAnsi="Times New Roman" w:cs="Times New Roman"/>
                <w:sz w:val="20"/>
                <w:szCs w:val="20"/>
                <w:lang w:val="lv-LV"/>
              </w:rPr>
              <w:t xml:space="preserve"> kā gandrīz nulles enerģijas ēkas (saskaņā ar Ministru kabineta 20</w:t>
            </w:r>
            <w:r w:rsidR="49A78B0A" w:rsidRPr="00DD77BC">
              <w:rPr>
                <w:rFonts w:ascii="Times New Roman" w:eastAsia="Calibri" w:hAnsi="Times New Roman" w:cs="Times New Roman"/>
                <w:sz w:val="20"/>
                <w:szCs w:val="20"/>
                <w:lang w:val="lv-LV"/>
              </w:rPr>
              <w:t>21</w:t>
            </w:r>
            <w:r w:rsidRPr="00DD77BC">
              <w:rPr>
                <w:rFonts w:ascii="Times New Roman" w:eastAsia="Calibri" w:hAnsi="Times New Roman" w:cs="Times New Roman"/>
                <w:sz w:val="20"/>
                <w:szCs w:val="20"/>
                <w:lang w:val="lv-LV"/>
              </w:rPr>
              <w:t xml:space="preserve">.gada </w:t>
            </w:r>
            <w:r w:rsidR="3DFC9C10" w:rsidRPr="00DD77BC">
              <w:rPr>
                <w:rFonts w:ascii="Times New Roman" w:eastAsia="Calibri" w:hAnsi="Times New Roman" w:cs="Times New Roman"/>
                <w:sz w:val="20"/>
                <w:szCs w:val="20"/>
                <w:lang w:val="lv-LV"/>
              </w:rPr>
              <w:t>8</w:t>
            </w:r>
            <w:r w:rsidRPr="00DD77BC">
              <w:rPr>
                <w:rFonts w:ascii="Times New Roman" w:eastAsia="Calibri" w:hAnsi="Times New Roman" w:cs="Times New Roman"/>
                <w:sz w:val="20"/>
                <w:szCs w:val="20"/>
                <w:lang w:val="lv-LV"/>
              </w:rPr>
              <w:t>.</w:t>
            </w:r>
            <w:r w:rsidR="1F91CD54" w:rsidRPr="00DD77BC">
              <w:rPr>
                <w:rFonts w:ascii="Times New Roman" w:eastAsia="Calibri" w:hAnsi="Times New Roman" w:cs="Times New Roman"/>
                <w:sz w:val="20"/>
                <w:szCs w:val="20"/>
                <w:lang w:val="lv-LV"/>
              </w:rPr>
              <w:t>aprīļa</w:t>
            </w:r>
            <w:r w:rsidRPr="00DD77BC">
              <w:rPr>
                <w:rFonts w:ascii="Times New Roman" w:eastAsia="Calibri" w:hAnsi="Times New Roman" w:cs="Times New Roman"/>
                <w:sz w:val="20"/>
                <w:szCs w:val="20"/>
                <w:lang w:val="lv-LV"/>
              </w:rPr>
              <w:t xml:space="preserve"> noteikumu Nr. </w:t>
            </w:r>
            <w:r w:rsidR="6E4740A3" w:rsidRPr="00DD77BC">
              <w:rPr>
                <w:rFonts w:ascii="Times New Roman" w:eastAsia="Calibri" w:hAnsi="Times New Roman" w:cs="Times New Roman"/>
                <w:sz w:val="20"/>
                <w:szCs w:val="20"/>
                <w:lang w:val="lv-LV"/>
              </w:rPr>
              <w:t>222</w:t>
            </w:r>
            <w:r w:rsidRPr="00DD77BC">
              <w:rPr>
                <w:rFonts w:ascii="Times New Roman" w:eastAsia="Calibri" w:hAnsi="Times New Roman" w:cs="Times New Roman"/>
                <w:sz w:val="20"/>
                <w:szCs w:val="20"/>
                <w:lang w:val="lv-LV"/>
              </w:rPr>
              <w:t xml:space="preserve"> "</w:t>
            </w:r>
            <w:r w:rsidR="18236F6B" w:rsidRPr="00DD77BC">
              <w:rPr>
                <w:rFonts w:ascii="Times New Roman" w:eastAsia="Calibri" w:hAnsi="Times New Roman" w:cs="Times New Roman"/>
                <w:sz w:val="20"/>
                <w:szCs w:val="20"/>
                <w:lang w:val="lv-LV"/>
              </w:rPr>
              <w:t>Ēku energoefektivitātes aprēķina metodes un ēku energosertifikācijas noteikumi</w:t>
            </w:r>
            <w:r w:rsidRPr="00DD77BC">
              <w:rPr>
                <w:rFonts w:ascii="Times New Roman" w:eastAsia="Calibri" w:hAnsi="Times New Roman" w:cs="Times New Roman"/>
                <w:sz w:val="20"/>
                <w:szCs w:val="20"/>
                <w:lang w:val="lv-LV"/>
              </w:rPr>
              <w:t xml:space="preserve">" </w:t>
            </w:r>
            <w:r w:rsidR="62D4FAA4" w:rsidRPr="00DD77BC">
              <w:rPr>
                <w:rFonts w:ascii="Times New Roman" w:eastAsia="Calibri" w:hAnsi="Times New Roman" w:cs="Times New Roman"/>
                <w:sz w:val="20"/>
                <w:szCs w:val="20"/>
                <w:lang w:val="lv-LV"/>
              </w:rPr>
              <w:t>3</w:t>
            </w:r>
            <w:r w:rsidRPr="00DD77BC">
              <w:rPr>
                <w:rFonts w:ascii="Times New Roman" w:eastAsia="Calibri" w:hAnsi="Times New Roman" w:cs="Times New Roman"/>
                <w:sz w:val="20"/>
                <w:szCs w:val="20"/>
                <w:lang w:val="lv-LV"/>
              </w:rPr>
              <w:t>. pielikumu</w:t>
            </w:r>
            <w:r w:rsidR="00EEED59" w:rsidRPr="00DD77BC">
              <w:rPr>
                <w:rFonts w:ascii="Times New Roman" w:eastAsia="Calibri" w:hAnsi="Times New Roman" w:cs="Times New Roman"/>
                <w:sz w:val="20"/>
                <w:szCs w:val="20"/>
                <w:lang w:val="lv-LV"/>
              </w:rPr>
              <w:t>)</w:t>
            </w:r>
            <w:r w:rsidRPr="00DD77BC">
              <w:rPr>
                <w:rFonts w:ascii="Times New Roman" w:eastAsia="Calibri" w:hAnsi="Times New Roman" w:cs="Times New Roman"/>
                <w:sz w:val="20"/>
                <w:szCs w:val="20"/>
                <w:lang w:val="lv-LV"/>
              </w:rPr>
              <w:t xml:space="preserve">, </w:t>
            </w:r>
            <w:r w:rsidR="00E11CDA" w:rsidRPr="00DD77BC">
              <w:rPr>
                <w:rFonts w:ascii="Times New Roman" w:eastAsia="Calibri" w:hAnsi="Times New Roman" w:cs="Times New Roman"/>
                <w:sz w:val="20"/>
                <w:szCs w:val="20"/>
                <w:lang w:val="lv-LV"/>
              </w:rPr>
              <w:t>savukārt</w:t>
            </w:r>
            <w:r w:rsidR="00326DB7" w:rsidRPr="00DD77BC">
              <w:rPr>
                <w:rFonts w:ascii="Times New Roman" w:eastAsia="Calibri" w:hAnsi="Times New Roman" w:cs="Times New Roman"/>
                <w:sz w:val="20"/>
                <w:szCs w:val="20"/>
                <w:lang w:val="lv-LV"/>
              </w:rPr>
              <w:t>,</w:t>
            </w:r>
            <w:r w:rsidR="00E11CDA" w:rsidRPr="00DD77BC">
              <w:rPr>
                <w:rFonts w:ascii="Times New Roman" w:eastAsia="Calibri" w:hAnsi="Times New Roman" w:cs="Times New Roman"/>
                <w:sz w:val="20"/>
                <w:szCs w:val="20"/>
                <w:lang w:val="lv-LV"/>
              </w:rPr>
              <w:t xml:space="preserve"> esošās pašvaldību ēkas tiks pārbūvētas, ievērojot LBN 002-19 "Ēku norobežojošo konstrukciju siltumtehnika", </w:t>
            </w:r>
            <w:r w:rsidRPr="00DD77BC">
              <w:rPr>
                <w:rFonts w:ascii="Times New Roman" w:eastAsia="Calibri" w:hAnsi="Times New Roman" w:cs="Times New Roman"/>
                <w:sz w:val="20"/>
                <w:szCs w:val="20"/>
                <w:lang w:val="lv-LV"/>
              </w:rPr>
              <w:t>paredzams, ka samazināsies enerģijas apjoma izmantošana un tādejādi būs mazākas SEG emisijas.</w:t>
            </w:r>
            <w:r w:rsidR="000118D9" w:rsidRPr="00DD77BC">
              <w:rPr>
                <w:rFonts w:ascii="Times New Roman" w:eastAsia="Calibri" w:hAnsi="Times New Roman" w:cs="Times New Roman"/>
                <w:sz w:val="20"/>
                <w:szCs w:val="20"/>
                <w:lang w:val="lv-LV"/>
              </w:rPr>
              <w:t xml:space="preserve"> </w:t>
            </w:r>
            <w:r w:rsidR="00E17826" w:rsidRPr="00DD77BC">
              <w:rPr>
                <w:rFonts w:ascii="Times New Roman" w:eastAsia="Calibri" w:hAnsi="Times New Roman" w:cs="Times New Roman"/>
                <w:sz w:val="20"/>
                <w:szCs w:val="20"/>
                <w:lang w:val="lv-LV"/>
              </w:rPr>
              <w:t>Minētās prasības, izbūvējot un pārbūvējot dzīvojamās mājas, būs jāpiemēro</w:t>
            </w:r>
            <w:r w:rsidR="000A57E1" w:rsidRPr="00DD77BC">
              <w:rPr>
                <w:rFonts w:ascii="Times New Roman" w:eastAsia="Calibri" w:hAnsi="Times New Roman" w:cs="Times New Roman"/>
                <w:sz w:val="20"/>
                <w:szCs w:val="20"/>
                <w:lang w:val="lv-LV"/>
              </w:rPr>
              <w:t xml:space="preserve"> un obligāti jāievēro</w:t>
            </w:r>
            <w:r w:rsidR="007342A5" w:rsidRPr="00DD77BC">
              <w:rPr>
                <w:rFonts w:ascii="Times New Roman" w:eastAsia="Calibri" w:hAnsi="Times New Roman" w:cs="Times New Roman"/>
                <w:sz w:val="20"/>
                <w:szCs w:val="20"/>
                <w:lang w:val="lv-LV"/>
              </w:rPr>
              <w:t xml:space="preserve"> tāpat kā jebkurš būvnormatīvs</w:t>
            </w:r>
            <w:r w:rsidR="00E600F3" w:rsidRPr="00DD77BC">
              <w:rPr>
                <w:rFonts w:ascii="Times New Roman" w:eastAsia="Calibri" w:hAnsi="Times New Roman" w:cs="Times New Roman"/>
                <w:sz w:val="20"/>
                <w:szCs w:val="20"/>
                <w:lang w:val="lv-LV"/>
              </w:rPr>
              <w:t>/būvniecības procesu regulējošs normatīvais akts</w:t>
            </w:r>
            <w:r w:rsidR="000A57E1" w:rsidRPr="00DD77BC">
              <w:rPr>
                <w:rFonts w:ascii="Times New Roman" w:eastAsia="Calibri" w:hAnsi="Times New Roman" w:cs="Times New Roman"/>
                <w:sz w:val="20"/>
                <w:szCs w:val="20"/>
                <w:lang w:val="lv-LV"/>
              </w:rPr>
              <w:t xml:space="preserve">, jo būvnormatīvs LBN 002-19 “Ēku </w:t>
            </w:r>
            <w:r w:rsidR="000A57E1" w:rsidRPr="00DD77BC">
              <w:rPr>
                <w:rFonts w:ascii="Times New Roman" w:eastAsia="Calibri" w:hAnsi="Times New Roman" w:cs="Times New Roman"/>
                <w:sz w:val="20"/>
                <w:szCs w:val="20"/>
                <w:lang w:val="lv-LV"/>
              </w:rPr>
              <w:lastRenderedPageBreak/>
              <w:t xml:space="preserve">norobežojošo konstrukciju siltumtehnika” </w:t>
            </w:r>
            <w:r w:rsidR="00BC6BAB" w:rsidRPr="00DD77BC">
              <w:rPr>
                <w:rFonts w:ascii="Times New Roman" w:eastAsia="Calibri" w:hAnsi="Times New Roman" w:cs="Times New Roman"/>
                <w:sz w:val="20"/>
                <w:szCs w:val="20"/>
                <w:lang w:val="lv-LV"/>
              </w:rPr>
              <w:t xml:space="preserve">paredz </w:t>
            </w:r>
            <w:r w:rsidR="00E600F3" w:rsidRPr="00DD77BC">
              <w:rPr>
                <w:rFonts w:ascii="Times New Roman" w:eastAsia="Calibri" w:hAnsi="Times New Roman" w:cs="Times New Roman"/>
                <w:sz w:val="20"/>
                <w:szCs w:val="20"/>
                <w:lang w:val="lv-LV"/>
              </w:rPr>
              <w:t>tā piemērošanas obligātumu no 2</w:t>
            </w:r>
            <w:r w:rsidR="00502625" w:rsidRPr="00DD77BC">
              <w:rPr>
                <w:rFonts w:ascii="Times New Roman" w:eastAsia="Calibri" w:hAnsi="Times New Roman" w:cs="Times New Roman"/>
                <w:sz w:val="20"/>
                <w:szCs w:val="20"/>
                <w:lang w:val="lv-LV"/>
              </w:rPr>
              <w:t xml:space="preserve">021.gada 1.janvāra visu </w:t>
            </w:r>
            <w:r w:rsidR="00B74C68" w:rsidRPr="00DD77BC">
              <w:rPr>
                <w:rFonts w:ascii="Times New Roman" w:eastAsia="Calibri" w:hAnsi="Times New Roman" w:cs="Times New Roman"/>
                <w:sz w:val="20"/>
                <w:szCs w:val="20"/>
                <w:lang w:val="lv-LV"/>
              </w:rPr>
              <w:t xml:space="preserve">dzīvojamo māju būvniecības/pārbūves gadījumā. </w:t>
            </w:r>
            <w:r w:rsidR="00234D85" w:rsidRPr="00DD77BC">
              <w:rPr>
                <w:rFonts w:ascii="Times New Roman" w:eastAsia="Calibri" w:hAnsi="Times New Roman" w:cs="Times New Roman"/>
                <w:sz w:val="20"/>
                <w:szCs w:val="20"/>
                <w:lang w:val="lv-LV"/>
              </w:rPr>
              <w:t>Prasību izpilde tiek kontrolēta būvniecības procesu reglamentējošo normatīvo aktu noteiktajā apjomā un kārtībā</w:t>
            </w:r>
            <w:r w:rsidR="007342A5" w:rsidRPr="00DD77BC">
              <w:rPr>
                <w:rFonts w:ascii="Times New Roman" w:eastAsia="Calibri" w:hAnsi="Times New Roman" w:cs="Times New Roman"/>
                <w:sz w:val="20"/>
                <w:szCs w:val="20"/>
                <w:lang w:val="lv-LV"/>
              </w:rPr>
              <w:t xml:space="preserve">. </w:t>
            </w:r>
            <w:r w:rsidR="00185F04" w:rsidRPr="00DD77BC">
              <w:rPr>
                <w:rFonts w:ascii="Times New Roman" w:eastAsia="Calibri" w:hAnsi="Times New Roman" w:cs="Times New Roman"/>
                <w:sz w:val="20"/>
                <w:szCs w:val="20"/>
                <w:lang w:val="lv-LV"/>
              </w:rPr>
              <w:t>Prasība</w:t>
            </w:r>
            <w:r w:rsidR="004525A8" w:rsidRPr="00DD77BC">
              <w:rPr>
                <w:rFonts w:ascii="Times New Roman" w:eastAsia="Calibri" w:hAnsi="Times New Roman" w:cs="Times New Roman"/>
                <w:sz w:val="20"/>
                <w:szCs w:val="20"/>
                <w:lang w:val="lv-LV"/>
              </w:rPr>
              <w:t xml:space="preserve"> jaunbūvējamām dzīvojamām mājām b</w:t>
            </w:r>
            <w:r w:rsidR="009100D0" w:rsidRPr="00DD77BC">
              <w:rPr>
                <w:rFonts w:ascii="Times New Roman" w:eastAsia="Calibri" w:hAnsi="Times New Roman" w:cs="Times New Roman"/>
                <w:sz w:val="20"/>
                <w:szCs w:val="20"/>
                <w:lang w:val="lv-LV"/>
              </w:rPr>
              <w:t>e</w:t>
            </w:r>
            <w:r w:rsidR="004525A8" w:rsidRPr="00DD77BC">
              <w:rPr>
                <w:rFonts w:ascii="Times New Roman" w:eastAsia="Calibri" w:hAnsi="Times New Roman" w:cs="Times New Roman"/>
                <w:sz w:val="20"/>
                <w:szCs w:val="20"/>
                <w:lang w:val="lv-LV"/>
              </w:rPr>
              <w:t>t gandrīz nulles enerģijas ēk</w:t>
            </w:r>
            <w:r w:rsidR="002E36EE" w:rsidRPr="00DD77BC">
              <w:rPr>
                <w:rFonts w:ascii="Times New Roman" w:eastAsia="Calibri" w:hAnsi="Times New Roman" w:cs="Times New Roman"/>
                <w:sz w:val="20"/>
                <w:szCs w:val="20"/>
                <w:lang w:val="lv-LV"/>
              </w:rPr>
              <w:t>ām tiks ietverta arī Ministru kabineta noteikumos par speciālā atbalsta mērķa īstenošan</w:t>
            </w:r>
            <w:r w:rsidR="00ED3D21" w:rsidRPr="00DD77BC">
              <w:rPr>
                <w:rFonts w:ascii="Times New Roman" w:eastAsia="Calibri" w:hAnsi="Times New Roman" w:cs="Times New Roman"/>
                <w:sz w:val="20"/>
                <w:szCs w:val="20"/>
                <w:lang w:val="lv-LV"/>
              </w:rPr>
              <w:t xml:space="preserve">u. </w:t>
            </w:r>
            <w:r w:rsidRPr="00DD77BC">
              <w:rPr>
                <w:rFonts w:ascii="Times New Roman" w:eastAsia="Calibri" w:hAnsi="Times New Roman" w:cs="Times New Roman"/>
                <w:sz w:val="20"/>
                <w:szCs w:val="20"/>
                <w:lang w:val="lv-LV"/>
              </w:rPr>
              <w:t xml:space="preserve">Precīzu SEG emisiju apjomu, kas varētu tikt radīts īstenoto pasākumu rezultātā, šobrīd nav iespējams aprēķināt. </w:t>
            </w:r>
          </w:p>
          <w:p w14:paraId="6796BFC3" w14:textId="091BE89B" w:rsidR="00336337" w:rsidRPr="00DD77BC" w:rsidRDefault="003845E7" w:rsidP="3013ECA5">
            <w:pPr>
              <w:pStyle w:val="ListParagraph"/>
              <w:numPr>
                <w:ilvl w:val="0"/>
                <w:numId w:val="6"/>
              </w:numPr>
              <w:spacing w:line="240" w:lineRule="auto"/>
              <w:jc w:val="both"/>
              <w:rPr>
                <w:rFonts w:asciiTheme="minorHAnsi" w:eastAsiaTheme="minorEastAsia" w:hAnsiTheme="minorHAnsi"/>
                <w:sz w:val="20"/>
                <w:szCs w:val="20"/>
                <w:lang w:val="lv-LV"/>
              </w:rPr>
            </w:pPr>
            <w:r w:rsidRPr="00DD77BC">
              <w:rPr>
                <w:rFonts w:ascii="Times New Roman" w:eastAsia="Calibri" w:hAnsi="Times New Roman" w:cs="Times New Roman"/>
                <w:sz w:val="20"/>
                <w:szCs w:val="20"/>
                <w:lang w:val="lv-LV"/>
              </w:rPr>
              <w:t>Investīcijas plānotas</w:t>
            </w:r>
            <w:r w:rsidR="00447C28" w:rsidRPr="00DD77BC">
              <w:rPr>
                <w:rFonts w:ascii="Times New Roman" w:eastAsia="Calibri" w:hAnsi="Times New Roman" w:cs="Times New Roman"/>
                <w:sz w:val="20"/>
                <w:szCs w:val="20"/>
                <w:lang w:val="lv-LV"/>
              </w:rPr>
              <w:t xml:space="preserve"> jaunu </w:t>
            </w:r>
            <w:r w:rsidR="00BD52C4" w:rsidRPr="00DD77BC">
              <w:rPr>
                <w:rFonts w:ascii="Times New Roman" w:eastAsia="Calibri" w:hAnsi="Times New Roman" w:cs="Times New Roman"/>
                <w:sz w:val="20"/>
                <w:szCs w:val="20"/>
                <w:lang w:val="lv-LV"/>
              </w:rPr>
              <w:t>pašvaldības sociālo un</w:t>
            </w:r>
            <w:r w:rsidR="00447C28" w:rsidRPr="00DD77BC">
              <w:rPr>
                <w:rFonts w:ascii="Times New Roman" w:eastAsia="Calibri" w:hAnsi="Times New Roman" w:cs="Times New Roman"/>
                <w:sz w:val="20"/>
                <w:szCs w:val="20"/>
                <w:lang w:val="lv-LV"/>
              </w:rPr>
              <w:t xml:space="preserve"> īres mājokļu būvniecībai un </w:t>
            </w:r>
            <w:r w:rsidR="003A178A" w:rsidRPr="00DD77BC">
              <w:rPr>
                <w:rFonts w:ascii="Times New Roman" w:eastAsia="Calibri" w:hAnsi="Times New Roman" w:cs="Times New Roman"/>
                <w:sz w:val="20"/>
                <w:szCs w:val="20"/>
                <w:lang w:val="lv-LV"/>
              </w:rPr>
              <w:t xml:space="preserve">esošo pašvaldības īpašumā esošo ēku </w:t>
            </w:r>
            <w:r w:rsidR="00447C28" w:rsidRPr="00DD77BC">
              <w:rPr>
                <w:rFonts w:ascii="Times New Roman" w:eastAsia="Calibri" w:hAnsi="Times New Roman" w:cs="Times New Roman"/>
                <w:sz w:val="20"/>
                <w:szCs w:val="20"/>
                <w:lang w:val="lv-LV"/>
              </w:rPr>
              <w:t>pārbūvei</w:t>
            </w:r>
            <w:r w:rsidR="003A178A" w:rsidRPr="00DD77BC">
              <w:rPr>
                <w:rFonts w:ascii="Times New Roman" w:eastAsia="Calibri" w:hAnsi="Times New Roman" w:cs="Times New Roman"/>
                <w:sz w:val="20"/>
                <w:szCs w:val="20"/>
                <w:lang w:val="lv-LV"/>
              </w:rPr>
              <w:t xml:space="preserve"> par īres/sociālajiem mājokļiem</w:t>
            </w:r>
            <w:r w:rsidR="00447C28" w:rsidRPr="00DD77BC">
              <w:rPr>
                <w:rFonts w:ascii="Times New Roman" w:hAnsi="Times New Roman" w:cs="Times New Roman"/>
                <w:sz w:val="20"/>
                <w:szCs w:val="20"/>
                <w:lang w:val="lv-LV"/>
              </w:rPr>
              <w:t xml:space="preserve"> </w:t>
            </w:r>
            <w:r w:rsidRPr="00DD77BC">
              <w:rPr>
                <w:rFonts w:ascii="Times New Roman" w:eastAsia="Calibri" w:hAnsi="Times New Roman" w:cs="Times New Roman"/>
                <w:sz w:val="20"/>
                <w:szCs w:val="20"/>
                <w:lang w:val="lv-LV"/>
              </w:rPr>
              <w:t>(pašvaldība savos noteikumos nosaka nosacījumus attiecībā uz pieslēgšanos ūdensapgādes un centralizētās siltumapgādes sistēmām, teritorijas labiekārtošanas darbiem jaunizveidojamās un esošās apbūves teritorijās)</w:t>
            </w:r>
            <w:r w:rsidR="00447C28" w:rsidRPr="00DD77BC">
              <w:rPr>
                <w:rFonts w:ascii="Times New Roman" w:eastAsia="Calibri" w:hAnsi="Times New Roman" w:cs="Times New Roman"/>
                <w:sz w:val="20"/>
                <w:szCs w:val="20"/>
                <w:lang w:val="lv-LV"/>
              </w:rPr>
              <w:t xml:space="preserve">, kā arī esošo </w:t>
            </w:r>
            <w:r w:rsidR="31B7D93B" w:rsidRPr="00DD77BC">
              <w:rPr>
                <w:rFonts w:ascii="Times New Roman" w:eastAsia="Calibri" w:hAnsi="Times New Roman" w:cs="Times New Roman"/>
                <w:sz w:val="20"/>
                <w:szCs w:val="20"/>
                <w:lang w:val="lv-LV"/>
              </w:rPr>
              <w:t>pašvaldības īpašumā esošo telpu grupu</w:t>
            </w:r>
            <w:r w:rsidR="44676A45" w:rsidRPr="00DD77BC">
              <w:rPr>
                <w:rFonts w:ascii="Times New Roman" w:eastAsia="Calibri" w:hAnsi="Times New Roman" w:cs="Times New Roman"/>
                <w:sz w:val="20"/>
                <w:szCs w:val="20"/>
                <w:lang w:val="lv-LV"/>
              </w:rPr>
              <w:t>,</w:t>
            </w:r>
            <w:r w:rsidR="31B7D93B" w:rsidRPr="00DD77BC">
              <w:rPr>
                <w:rFonts w:ascii="Times New Roman" w:eastAsia="Calibri" w:hAnsi="Times New Roman" w:cs="Times New Roman"/>
                <w:sz w:val="20"/>
                <w:szCs w:val="20"/>
                <w:lang w:val="lv-LV"/>
              </w:rPr>
              <w:t xml:space="preserve"> </w:t>
            </w:r>
            <w:r w:rsidR="6B5FD71D" w:rsidRPr="00DD77BC">
              <w:rPr>
                <w:rFonts w:ascii="Times New Roman" w:hAnsi="Times New Roman" w:cs="Times New Roman"/>
                <w:sz w:val="20"/>
                <w:szCs w:val="20"/>
                <w:lang w:val="lv-LV"/>
              </w:rPr>
              <w:t xml:space="preserve">kas ir tehniski sliktā stāvoklī </w:t>
            </w:r>
            <w:r w:rsidR="31B7D93B" w:rsidRPr="00DD77BC">
              <w:rPr>
                <w:rFonts w:ascii="Times New Roman" w:eastAsia="Calibri" w:hAnsi="Times New Roman" w:cs="Times New Roman"/>
                <w:sz w:val="20"/>
                <w:szCs w:val="20"/>
                <w:lang w:val="lv-LV"/>
              </w:rPr>
              <w:t xml:space="preserve">atjaunošanai par īres/sociālajiem </w:t>
            </w:r>
            <w:r w:rsidR="00447C28" w:rsidRPr="00DD77BC">
              <w:rPr>
                <w:rFonts w:ascii="Times New Roman" w:eastAsia="Calibri" w:hAnsi="Times New Roman" w:cs="Times New Roman"/>
                <w:sz w:val="20"/>
                <w:szCs w:val="20"/>
                <w:lang w:val="lv-LV"/>
              </w:rPr>
              <w:t xml:space="preserve"> </w:t>
            </w:r>
            <w:r w:rsidR="6ACE626A" w:rsidRPr="00DD77BC">
              <w:rPr>
                <w:rFonts w:ascii="Times New Roman" w:eastAsia="Calibri" w:hAnsi="Times New Roman" w:cs="Times New Roman"/>
                <w:sz w:val="20"/>
                <w:szCs w:val="20"/>
                <w:lang w:val="lv-LV"/>
              </w:rPr>
              <w:t>mājokļiem</w:t>
            </w:r>
            <w:r w:rsidR="0BD76C8A" w:rsidRPr="00DD77BC">
              <w:rPr>
                <w:rFonts w:ascii="Times New Roman" w:hAnsi="Times New Roman" w:cs="Times New Roman"/>
                <w:sz w:val="20"/>
                <w:szCs w:val="20"/>
                <w:lang w:val="lv-LV"/>
              </w:rPr>
              <w:t>.</w:t>
            </w:r>
            <w:r w:rsidR="00447C28" w:rsidRPr="00DD77BC">
              <w:rPr>
                <w:rFonts w:ascii="Times New Roman" w:hAnsi="Times New Roman" w:cs="Times New Roman"/>
                <w:sz w:val="20"/>
                <w:szCs w:val="20"/>
                <w:lang w:val="lv-LV"/>
              </w:rPr>
              <w:t xml:space="preserve"> </w:t>
            </w:r>
            <w:r w:rsidRPr="00DD77BC">
              <w:rPr>
                <w:rFonts w:ascii="Times New Roman" w:eastAsia="Calibri" w:hAnsi="Times New Roman" w:cs="Times New Roman"/>
                <w:sz w:val="20"/>
                <w:szCs w:val="20"/>
                <w:lang w:val="lv-LV"/>
              </w:rPr>
              <w:t xml:space="preserve"> Plānots, </w:t>
            </w:r>
            <w:r w:rsidR="00447C28" w:rsidRPr="00DD77BC">
              <w:rPr>
                <w:rFonts w:ascii="Times New Roman" w:eastAsia="Calibri" w:hAnsi="Times New Roman" w:cs="Times New Roman"/>
                <w:sz w:val="20"/>
                <w:szCs w:val="20"/>
                <w:lang w:val="lv-LV"/>
              </w:rPr>
              <w:t>ka atbalsta pasākuma</w:t>
            </w:r>
            <w:r w:rsidRPr="00DD77BC">
              <w:rPr>
                <w:rFonts w:ascii="Times New Roman" w:eastAsia="Calibri" w:hAnsi="Times New Roman" w:cs="Times New Roman"/>
                <w:sz w:val="20"/>
                <w:szCs w:val="20"/>
                <w:lang w:val="lv-LV"/>
              </w:rPr>
              <w:t xml:space="preserve"> ietvaros tiks </w:t>
            </w:r>
            <w:r w:rsidR="00F83BE1" w:rsidRPr="00DD77BC">
              <w:rPr>
                <w:rFonts w:ascii="Times New Roman" w:hAnsi="Times New Roman" w:cs="Times New Roman"/>
                <w:sz w:val="20"/>
                <w:szCs w:val="20"/>
                <w:lang w:val="lv-LV"/>
              </w:rPr>
              <w:t xml:space="preserve">nodrošināta cilvēka cienīgiem dzīves apstākļiem atbilstošu mājokļu pieejamība sociāli mazaizsargātām personām un tiks samazinātas rindas pašvaldībās šādu mājokļu izīrēšanai. </w:t>
            </w:r>
            <w:r w:rsidR="00F83BE1" w:rsidRPr="00DD77BC">
              <w:rPr>
                <w:rFonts w:ascii="Times New Roman" w:eastAsiaTheme="minorEastAsia" w:hAnsi="Times New Roman" w:cs="Times New Roman"/>
                <w:sz w:val="20"/>
                <w:szCs w:val="20"/>
                <w:lang w:val="lv-LV"/>
              </w:rPr>
              <w:t>ES fondu finansēto</w:t>
            </w:r>
            <w:r w:rsidRPr="00DD77BC">
              <w:rPr>
                <w:rFonts w:ascii="Times New Roman" w:eastAsia="Calibri" w:hAnsi="Times New Roman" w:cs="Times New Roman"/>
                <w:sz w:val="20"/>
                <w:szCs w:val="20"/>
                <w:lang w:val="lv-LV"/>
              </w:rPr>
              <w:t xml:space="preserve"> mājokļu pieejamība dos šiem iedzīvotājiem iespēju īrēt  kvalitatīvu, energoefektīvu mājokli, veicinot kopējo sabiedrības interesi par kvalitatīviem un energoefektīviem mājokļiem, tādējādi veicinot SEG emisiju samazinošu risinājumu ieviešanu mājokļu sektorā.</w:t>
            </w:r>
          </w:p>
        </w:tc>
      </w:tr>
      <w:tr w:rsidR="00755358" w:rsidRPr="00DD77BC" w14:paraId="568CF3AE" w14:textId="77777777" w:rsidTr="3013ECA5">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EB029E0" w14:textId="77777777" w:rsidR="00755358" w:rsidRPr="00DD77BC" w:rsidRDefault="00755358" w:rsidP="00755358">
            <w:pPr>
              <w:spacing w:line="240" w:lineRule="auto"/>
              <w:rPr>
                <w:rFonts w:eastAsia="Times New Roman"/>
                <w:b/>
                <w:bCs/>
                <w:sz w:val="20"/>
                <w:szCs w:val="20"/>
                <w:lang w:eastAsia="lv-LV"/>
              </w:rPr>
            </w:pPr>
            <w:r w:rsidRPr="00DD77BC">
              <w:rPr>
                <w:rFonts w:eastAsia="Times New Roman"/>
                <w:b/>
                <w:bCs/>
                <w:sz w:val="20"/>
                <w:szCs w:val="20"/>
                <w:lang w:eastAsia="lv-LV"/>
              </w:rPr>
              <w:lastRenderedPageBreak/>
              <w:t xml:space="preserve">Pielāgošanās klimata pārmaiņām. </w:t>
            </w:r>
          </w:p>
          <w:p w14:paraId="274355C3" w14:textId="77777777" w:rsidR="00755358" w:rsidRPr="00DD77BC" w:rsidRDefault="00755358" w:rsidP="00755358">
            <w:pPr>
              <w:spacing w:line="240" w:lineRule="auto"/>
              <w:jc w:val="both"/>
              <w:rPr>
                <w:sz w:val="20"/>
                <w:szCs w:val="20"/>
              </w:rPr>
            </w:pPr>
            <w:r w:rsidRPr="00DD77BC">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D3DD615" w14:textId="00E5306D" w:rsidR="00755358" w:rsidRPr="00DD77BC" w:rsidRDefault="000D4AF1" w:rsidP="00755358">
            <w:pPr>
              <w:spacing w:line="240" w:lineRule="auto"/>
              <w:jc w:val="center"/>
              <w:rPr>
                <w:rFonts w:eastAsia="Times New Roman"/>
                <w:b/>
                <w:bCs/>
                <w:sz w:val="20"/>
                <w:szCs w:val="20"/>
                <w:lang w:eastAsia="lv-LV"/>
              </w:rPr>
            </w:pPr>
            <w:r w:rsidRPr="00DD77BC">
              <w:rPr>
                <w:rFonts w:eastAsia="Times New Roman"/>
                <w:b/>
                <w:bCs/>
                <w:sz w:val="20"/>
                <w:szCs w:val="20"/>
                <w:lang w:eastAsia="lv-LV"/>
              </w:rPr>
              <w:t>X</w:t>
            </w:r>
          </w:p>
        </w:tc>
        <w:tc>
          <w:tcPr>
            <w:tcW w:w="116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4BD4951" w14:textId="4566AFAE" w:rsidR="00755358" w:rsidRPr="00DD77BC" w:rsidRDefault="00755358" w:rsidP="00755358">
            <w:pPr>
              <w:spacing w:line="240" w:lineRule="auto"/>
              <w:jc w:val="both"/>
              <w:rPr>
                <w:rFonts w:eastAsia="Calibri"/>
                <w:sz w:val="20"/>
                <w:szCs w:val="20"/>
              </w:rPr>
            </w:pPr>
            <w:r w:rsidRPr="00DD77BC">
              <w:rPr>
                <w:rFonts w:eastAsia="Calibri"/>
                <w:sz w:val="20"/>
                <w:szCs w:val="20"/>
              </w:rPr>
              <w:t xml:space="preserve">Paredzam, ka plānotās aktivitātes </w:t>
            </w:r>
            <w:r w:rsidR="00D929BE" w:rsidRPr="00DD77BC">
              <w:rPr>
                <w:rFonts w:eastAsia="Calibri"/>
                <w:sz w:val="20"/>
                <w:szCs w:val="20"/>
              </w:rPr>
              <w:t>pašvaldības sociālo un īres dzīvojamo</w:t>
            </w:r>
            <w:r w:rsidRPr="00DD77BC">
              <w:rPr>
                <w:rFonts w:eastAsia="Calibri"/>
                <w:sz w:val="20"/>
                <w:szCs w:val="20"/>
              </w:rPr>
              <w:t xml:space="preserve"> </w:t>
            </w:r>
            <w:r w:rsidR="00D929BE" w:rsidRPr="00DD77BC">
              <w:rPr>
                <w:rFonts w:eastAsia="Calibri"/>
                <w:sz w:val="20"/>
                <w:szCs w:val="20"/>
              </w:rPr>
              <w:t xml:space="preserve">māju </w:t>
            </w:r>
            <w:r w:rsidRPr="00DD77BC">
              <w:rPr>
                <w:rFonts w:eastAsia="Calibri"/>
                <w:sz w:val="20"/>
                <w:szCs w:val="20"/>
              </w:rPr>
              <w:t>būvniecībā</w:t>
            </w:r>
            <w:r w:rsidR="00D929BE" w:rsidRPr="00DD77BC">
              <w:rPr>
                <w:rFonts w:eastAsia="Calibri"/>
                <w:sz w:val="20"/>
                <w:szCs w:val="20"/>
              </w:rPr>
              <w:t xml:space="preserve">, kā arī </w:t>
            </w:r>
            <w:r w:rsidR="00FA0C04" w:rsidRPr="00DD77BC">
              <w:rPr>
                <w:rFonts w:eastAsia="Calibri"/>
                <w:sz w:val="20"/>
                <w:szCs w:val="20"/>
              </w:rPr>
              <w:t xml:space="preserve">jau tagad </w:t>
            </w:r>
            <w:r w:rsidR="00D929BE" w:rsidRPr="00DD77BC">
              <w:rPr>
                <w:rFonts w:eastAsia="Calibri"/>
                <w:sz w:val="20"/>
                <w:szCs w:val="20"/>
              </w:rPr>
              <w:t>pašvaldības</w:t>
            </w:r>
            <w:r w:rsidR="00FA0C04" w:rsidRPr="00DD77BC">
              <w:rPr>
                <w:rFonts w:eastAsia="Calibri"/>
                <w:sz w:val="20"/>
                <w:szCs w:val="20"/>
              </w:rPr>
              <w:t xml:space="preserve"> īpašumā esošu telpu grupu atjaunošana par</w:t>
            </w:r>
            <w:r w:rsidR="00D929BE" w:rsidRPr="00DD77BC">
              <w:rPr>
                <w:rFonts w:eastAsia="Calibri"/>
                <w:sz w:val="20"/>
                <w:szCs w:val="20"/>
              </w:rPr>
              <w:t xml:space="preserve"> </w:t>
            </w:r>
            <w:r w:rsidR="00FA0C04" w:rsidRPr="00DD77BC">
              <w:rPr>
                <w:rFonts w:eastAsia="Calibri"/>
                <w:sz w:val="20"/>
                <w:szCs w:val="20"/>
              </w:rPr>
              <w:t xml:space="preserve">pašvaldības sociālajiem </w:t>
            </w:r>
            <w:r w:rsidR="00D929BE" w:rsidRPr="00DD77BC">
              <w:rPr>
                <w:rFonts w:eastAsia="Calibri"/>
                <w:sz w:val="20"/>
                <w:szCs w:val="20"/>
              </w:rPr>
              <w:t xml:space="preserve">un īres </w:t>
            </w:r>
            <w:r w:rsidR="00FA0C04" w:rsidRPr="00DD77BC">
              <w:rPr>
                <w:rFonts w:eastAsia="Calibri"/>
                <w:sz w:val="20"/>
                <w:szCs w:val="20"/>
              </w:rPr>
              <w:t xml:space="preserve">dzīvokļiem </w:t>
            </w:r>
            <w:r w:rsidR="00D929BE" w:rsidRPr="00DD77BC">
              <w:rPr>
                <w:rFonts w:eastAsia="Calibri"/>
                <w:sz w:val="20"/>
                <w:szCs w:val="20"/>
                <w:u w:val="single"/>
              </w:rPr>
              <w:t>n</w:t>
            </w:r>
            <w:r w:rsidRPr="00DD77BC">
              <w:rPr>
                <w:rFonts w:eastAsia="Calibri"/>
                <w:sz w:val="20"/>
                <w:szCs w:val="20"/>
                <w:u w:val="single"/>
              </w:rPr>
              <w:t>eizraisīs negatīvu ietekmi</w:t>
            </w:r>
            <w:r w:rsidRPr="00DD77BC">
              <w:rPr>
                <w:rFonts w:eastAsia="Calibri"/>
                <w:sz w:val="20"/>
                <w:szCs w:val="20"/>
              </w:rPr>
              <w:t xml:space="preserve"> uz pašreizējā klimata un gaidāmā nākotnes klimata radītajām negatīvajām ietekmēm uz pašu pasākumu, cilvēkiem, dabu vai aktīviem (t.sk. infrastruktūru), kā arī neradīs negatīvu ietekmi uz pielāgošanās klimata pārmaiņām mērķu sasniegšanu.</w:t>
            </w:r>
          </w:p>
          <w:p w14:paraId="1CB29CCB" w14:textId="77777777" w:rsidR="00755358" w:rsidRPr="00DD77BC" w:rsidRDefault="00755358" w:rsidP="00755358">
            <w:pPr>
              <w:spacing w:line="240" w:lineRule="auto"/>
              <w:rPr>
                <w:sz w:val="20"/>
                <w:szCs w:val="20"/>
              </w:rPr>
            </w:pPr>
            <w:r w:rsidRPr="00DD77BC">
              <w:rPr>
                <w:rFonts w:eastAsia="Calibri"/>
                <w:b/>
                <w:bCs/>
                <w:sz w:val="20"/>
                <w:szCs w:val="20"/>
              </w:rPr>
              <w:t>Klimata pārmaiņu izpausmes, kas ietekmē paredzētās aktivitātes jomu</w:t>
            </w:r>
          </w:p>
          <w:p w14:paraId="0B35CEAC" w14:textId="77777777" w:rsidR="00755358" w:rsidRPr="00DD77BC" w:rsidRDefault="00755358" w:rsidP="00755358">
            <w:pPr>
              <w:spacing w:line="240" w:lineRule="auto"/>
              <w:jc w:val="both"/>
              <w:rPr>
                <w:rFonts w:eastAsia="Calibri"/>
                <w:sz w:val="20"/>
                <w:szCs w:val="20"/>
              </w:rPr>
            </w:pPr>
            <w:r w:rsidRPr="00DD77BC">
              <w:rPr>
                <w:rFonts w:eastAsia="Calibri"/>
                <w:sz w:val="20"/>
                <w:szCs w:val="20"/>
              </w:rPr>
              <w:t>Latvijā būvniecībai ir būtiskas vairākas klimata pārmaiņu izpausmes (tai skaitā ekstrēmi):</w:t>
            </w:r>
          </w:p>
          <w:p w14:paraId="2A46556E" w14:textId="77777777" w:rsidR="00755358" w:rsidRPr="00DD77BC" w:rsidRDefault="00755358" w:rsidP="00755358">
            <w:pPr>
              <w:pStyle w:val="ListParagraph"/>
              <w:numPr>
                <w:ilvl w:val="0"/>
                <w:numId w:val="8"/>
              </w:numPr>
              <w:spacing w:after="160" w:line="240" w:lineRule="auto"/>
              <w:jc w:val="both"/>
              <w:rPr>
                <w:rFonts w:ascii="Times New Roman" w:eastAsiaTheme="minorEastAsia" w:hAnsi="Times New Roman" w:cs="Times New Roman"/>
                <w:sz w:val="20"/>
                <w:szCs w:val="20"/>
                <w:lang w:val="lv-LV"/>
              </w:rPr>
            </w:pPr>
            <w:r w:rsidRPr="00DD77BC">
              <w:rPr>
                <w:rFonts w:ascii="Times New Roman" w:eastAsia="Calibri" w:hAnsi="Times New Roman" w:cs="Times New Roman"/>
                <w:sz w:val="20"/>
                <w:szCs w:val="20"/>
                <w:lang w:val="lv-LV"/>
              </w:rPr>
              <w:t xml:space="preserve">gada vidējās gaisa temperatūras paaugstināšanās, karstuma viļņu biežuma un ilguma pieaugums, meteoroloģiskās vasaras pagarināšanās, diennakts maksimālās temperatūras maksimālās vērtības paaugstināšanās; </w:t>
            </w:r>
          </w:p>
          <w:p w14:paraId="67483899" w14:textId="77777777" w:rsidR="00755358" w:rsidRPr="00DD77BC" w:rsidRDefault="00755358" w:rsidP="00755358">
            <w:pPr>
              <w:pStyle w:val="ListParagraph"/>
              <w:numPr>
                <w:ilvl w:val="0"/>
                <w:numId w:val="8"/>
              </w:numPr>
              <w:spacing w:after="160" w:line="240" w:lineRule="auto"/>
              <w:jc w:val="both"/>
              <w:rPr>
                <w:rFonts w:ascii="Times New Roman" w:eastAsiaTheme="minorEastAsia" w:hAnsi="Times New Roman" w:cs="Times New Roman"/>
                <w:sz w:val="20"/>
                <w:szCs w:val="20"/>
              </w:rPr>
            </w:pPr>
            <w:r w:rsidRPr="00DD77BC">
              <w:rPr>
                <w:rFonts w:ascii="Times New Roman" w:eastAsia="Calibri" w:hAnsi="Times New Roman" w:cs="Times New Roman"/>
                <w:sz w:val="20"/>
                <w:szCs w:val="20"/>
              </w:rPr>
              <w:t>sala dienu un dienu skaita bez atkušņa samazināšanās;</w:t>
            </w:r>
          </w:p>
          <w:p w14:paraId="58B0250A" w14:textId="77777777" w:rsidR="00755358" w:rsidRPr="00DD77BC" w:rsidRDefault="00755358" w:rsidP="00755358">
            <w:pPr>
              <w:pStyle w:val="ListParagraph"/>
              <w:numPr>
                <w:ilvl w:val="0"/>
                <w:numId w:val="8"/>
              </w:numPr>
              <w:spacing w:after="160" w:line="240" w:lineRule="auto"/>
              <w:jc w:val="both"/>
              <w:rPr>
                <w:rFonts w:ascii="Times New Roman" w:eastAsiaTheme="minorEastAsia" w:hAnsi="Times New Roman" w:cs="Times New Roman"/>
                <w:sz w:val="20"/>
                <w:szCs w:val="20"/>
              </w:rPr>
            </w:pPr>
            <w:r w:rsidRPr="00DD77BC">
              <w:rPr>
                <w:rFonts w:ascii="Times New Roman" w:eastAsia="Calibri" w:hAnsi="Times New Roman" w:cs="Times New Roman"/>
                <w:sz w:val="20"/>
                <w:szCs w:val="20"/>
              </w:rPr>
              <w:t>nokrišņu daudzuma palielināšanās un maksimālā vienas diennakts nokrišņu daudzuma palielināšanās, dienu skaita ar ļoti stipriem nokrišņiem palielināšanās, maksimālā piecu diennakšu nokrišņu daudzuma palielināšanās, virs normas strauju sniega nokrišņu palielināšanās;</w:t>
            </w:r>
          </w:p>
          <w:p w14:paraId="7889DA34" w14:textId="77777777" w:rsidR="00755358" w:rsidRPr="00DD77BC" w:rsidRDefault="00755358" w:rsidP="00755358">
            <w:pPr>
              <w:pStyle w:val="ListParagraph"/>
              <w:numPr>
                <w:ilvl w:val="0"/>
                <w:numId w:val="8"/>
              </w:numPr>
              <w:spacing w:after="160" w:line="240" w:lineRule="auto"/>
              <w:jc w:val="both"/>
              <w:rPr>
                <w:rFonts w:ascii="Times New Roman" w:eastAsiaTheme="minorEastAsia" w:hAnsi="Times New Roman" w:cs="Times New Roman"/>
                <w:sz w:val="20"/>
                <w:szCs w:val="20"/>
              </w:rPr>
            </w:pPr>
            <w:r w:rsidRPr="00DD77BC">
              <w:rPr>
                <w:rFonts w:ascii="Times New Roman" w:eastAsia="Calibri" w:hAnsi="Times New Roman" w:cs="Times New Roman"/>
                <w:sz w:val="20"/>
                <w:szCs w:val="20"/>
              </w:rPr>
              <w:t>vidējā jūras ūdens līmeņa celšanās ilgtermiņā un krasta erozija attīstība, kā arī gruntsūdeņa līmeņa svārstības, ko ietekmē nokrišņu un jūras ūdens līmeņa izmaiņas, un upju noteces režīma izmaiņas.</w:t>
            </w:r>
          </w:p>
          <w:p w14:paraId="5B84FA78" w14:textId="77777777" w:rsidR="00755358" w:rsidRPr="00DD77BC" w:rsidRDefault="00755358" w:rsidP="00755358">
            <w:pPr>
              <w:spacing w:line="240" w:lineRule="auto"/>
              <w:jc w:val="both"/>
              <w:rPr>
                <w:rFonts w:eastAsia="Calibri"/>
                <w:sz w:val="20"/>
                <w:szCs w:val="20"/>
              </w:rPr>
            </w:pPr>
            <w:r w:rsidRPr="00DD77BC">
              <w:rPr>
                <w:rFonts w:eastAsia="Calibri"/>
                <w:sz w:val="20"/>
                <w:szCs w:val="20"/>
              </w:rPr>
              <w:t>Klimata pārmaiņas ietekmē visus būvniecības un infrastruktūras objektus – ēkas, ūdens apgādes un kanalizācijas infrastruktūru, meliorācijas, transporta, sakaru un enerģētikas tīklus un to funkcionēšanu, kur lielākā ietekme ir klimata pārmaiņu radītiem ekstrēmiem laika apstākļiem (vētras, plūdi, liela apjoma nokrišņi, karstuma viļņi).</w:t>
            </w:r>
          </w:p>
          <w:p w14:paraId="1789B7EB" w14:textId="77777777" w:rsidR="00755358" w:rsidRPr="00DD77BC" w:rsidRDefault="00755358" w:rsidP="00755358">
            <w:pPr>
              <w:spacing w:line="240" w:lineRule="auto"/>
              <w:rPr>
                <w:rFonts w:eastAsia="Calibri"/>
                <w:sz w:val="20"/>
                <w:szCs w:val="20"/>
              </w:rPr>
            </w:pPr>
            <w:r w:rsidRPr="00DD77BC">
              <w:rPr>
                <w:rFonts w:eastAsia="Calibri"/>
                <w:b/>
                <w:bCs/>
                <w:sz w:val="20"/>
                <w:szCs w:val="20"/>
              </w:rPr>
              <w:t xml:space="preserve">Risku novērtējumos konstatētie klimata pārmaiņu radītie riski </w:t>
            </w:r>
            <w:r w:rsidRPr="00DD77BC">
              <w:rPr>
                <w:rFonts w:eastAsia="Calibri"/>
                <w:sz w:val="20"/>
                <w:szCs w:val="20"/>
              </w:rPr>
              <w:t xml:space="preserve"> un to iespējamās sekas:</w:t>
            </w:r>
          </w:p>
          <w:tbl>
            <w:tblPr>
              <w:tblW w:w="0" w:type="auto"/>
              <w:tblLayout w:type="fixed"/>
              <w:tblLook w:val="04A0" w:firstRow="1" w:lastRow="0" w:firstColumn="1" w:lastColumn="0" w:noHBand="0" w:noVBand="1"/>
            </w:tblPr>
            <w:tblGrid>
              <w:gridCol w:w="2876"/>
              <w:gridCol w:w="5675"/>
            </w:tblGrid>
            <w:tr w:rsidR="00755358" w:rsidRPr="00DD77BC" w14:paraId="60BE2560" w14:textId="77777777" w:rsidTr="003D3BA2">
              <w:tc>
                <w:tcPr>
                  <w:tcW w:w="2876" w:type="dxa"/>
                  <w:tcBorders>
                    <w:top w:val="single" w:sz="8" w:space="0" w:color="auto"/>
                    <w:left w:val="single" w:sz="8" w:space="0" w:color="auto"/>
                    <w:bottom w:val="single" w:sz="8" w:space="0" w:color="auto"/>
                    <w:right w:val="single" w:sz="8" w:space="0" w:color="auto"/>
                  </w:tcBorders>
                </w:tcPr>
                <w:p w14:paraId="1961828C" w14:textId="77777777" w:rsidR="00755358" w:rsidRPr="00DD77BC" w:rsidRDefault="00755358" w:rsidP="00755358">
                  <w:pPr>
                    <w:spacing w:line="240" w:lineRule="auto"/>
                    <w:jc w:val="both"/>
                    <w:rPr>
                      <w:rFonts w:eastAsia="Calibri"/>
                      <w:b/>
                      <w:bCs/>
                      <w:sz w:val="20"/>
                      <w:szCs w:val="20"/>
                    </w:rPr>
                  </w:pPr>
                  <w:r w:rsidRPr="00DD77BC">
                    <w:rPr>
                      <w:rFonts w:eastAsia="Calibri"/>
                      <w:b/>
                      <w:bCs/>
                      <w:sz w:val="20"/>
                      <w:szCs w:val="20"/>
                    </w:rPr>
                    <w:t>Nokrišņu plūdu radīto bojājumu pieaugums ēkām</w:t>
                  </w:r>
                </w:p>
              </w:tc>
              <w:tc>
                <w:tcPr>
                  <w:tcW w:w="5675" w:type="dxa"/>
                  <w:tcBorders>
                    <w:top w:val="single" w:sz="8" w:space="0" w:color="auto"/>
                    <w:left w:val="single" w:sz="8" w:space="0" w:color="auto"/>
                    <w:bottom w:val="single" w:sz="8" w:space="0" w:color="auto"/>
                    <w:right w:val="single" w:sz="8" w:space="0" w:color="auto"/>
                  </w:tcBorders>
                </w:tcPr>
                <w:p w14:paraId="4CD9F5F9" w14:textId="77777777" w:rsidR="00755358" w:rsidRPr="00DD77BC" w:rsidRDefault="00755358" w:rsidP="00755358">
                  <w:pPr>
                    <w:spacing w:line="240" w:lineRule="auto"/>
                    <w:jc w:val="both"/>
                    <w:rPr>
                      <w:rFonts w:eastAsia="Calibri"/>
                      <w:sz w:val="20"/>
                      <w:szCs w:val="20"/>
                    </w:rPr>
                  </w:pPr>
                  <w:r w:rsidRPr="00DD77BC">
                    <w:rPr>
                      <w:rFonts w:eastAsia="Calibri"/>
                      <w:sz w:val="20"/>
                      <w:szCs w:val="20"/>
                    </w:rPr>
                    <w:t>Bojājumi ēkām pilsētās ar kanalizācijas kapacitātes nepietiekamību, bojājumi ēkām ūdensteču un ūdenstilpju plūdu teritorijās; ēku remonta nepieciešamība vai nelabojami bojājumi; ēkas norakstīšana; ēku vērtības krišanās un apdrošināšanas cenu pieaugums; drošības un komforta samazināšanās.</w:t>
                  </w:r>
                </w:p>
              </w:tc>
            </w:tr>
            <w:tr w:rsidR="00755358" w:rsidRPr="00DD77BC" w14:paraId="06CEB438" w14:textId="77777777" w:rsidTr="003D3BA2">
              <w:tc>
                <w:tcPr>
                  <w:tcW w:w="2876" w:type="dxa"/>
                  <w:tcBorders>
                    <w:top w:val="single" w:sz="8" w:space="0" w:color="auto"/>
                    <w:left w:val="single" w:sz="8" w:space="0" w:color="auto"/>
                    <w:bottom w:val="single" w:sz="8" w:space="0" w:color="auto"/>
                    <w:right w:val="single" w:sz="8" w:space="0" w:color="auto"/>
                  </w:tcBorders>
                </w:tcPr>
                <w:p w14:paraId="79ACBE7F" w14:textId="77777777" w:rsidR="00755358" w:rsidRPr="00DD77BC" w:rsidRDefault="00755358" w:rsidP="00755358">
                  <w:pPr>
                    <w:spacing w:line="240" w:lineRule="auto"/>
                    <w:jc w:val="both"/>
                    <w:rPr>
                      <w:rFonts w:eastAsia="Calibri"/>
                      <w:b/>
                      <w:bCs/>
                      <w:sz w:val="20"/>
                      <w:szCs w:val="20"/>
                    </w:rPr>
                  </w:pPr>
                  <w:r w:rsidRPr="00DD77BC">
                    <w:rPr>
                      <w:rFonts w:eastAsia="Calibri"/>
                      <w:b/>
                      <w:bCs/>
                      <w:sz w:val="20"/>
                      <w:szCs w:val="20"/>
                    </w:rPr>
                    <w:t>Pārslodzes pieaugums uz ēku jumtiem no liela nokrišņu daudzuma sniega formā īslaicīgā periodā gadījumos</w:t>
                  </w:r>
                </w:p>
              </w:tc>
              <w:tc>
                <w:tcPr>
                  <w:tcW w:w="5675" w:type="dxa"/>
                  <w:tcBorders>
                    <w:top w:val="single" w:sz="8" w:space="0" w:color="auto"/>
                    <w:left w:val="single" w:sz="8" w:space="0" w:color="auto"/>
                    <w:bottom w:val="single" w:sz="8" w:space="0" w:color="auto"/>
                    <w:right w:val="single" w:sz="8" w:space="0" w:color="auto"/>
                  </w:tcBorders>
                </w:tcPr>
                <w:p w14:paraId="7314FA2E" w14:textId="77777777" w:rsidR="00755358" w:rsidRPr="00DD77BC" w:rsidRDefault="00755358" w:rsidP="00755358">
                  <w:pPr>
                    <w:spacing w:line="240" w:lineRule="auto"/>
                    <w:jc w:val="both"/>
                    <w:rPr>
                      <w:rFonts w:eastAsia="Calibri"/>
                      <w:sz w:val="20"/>
                      <w:szCs w:val="20"/>
                    </w:rPr>
                  </w:pPr>
                  <w:r w:rsidRPr="00DD77BC">
                    <w:rPr>
                      <w:rFonts w:eastAsia="Calibri"/>
                      <w:sz w:val="20"/>
                      <w:szCs w:val="20"/>
                    </w:rPr>
                    <w:t xml:space="preserve">Bojājumi ēku konstrukcijām (pastiprināta mikroplaisu veidošanās slodzes dēļ, mitruma bojājumi); jumtu sabrukšana; pelējuma palielināšanās; dzīvības un īpašuma apdraudējums. </w:t>
                  </w:r>
                </w:p>
              </w:tc>
            </w:tr>
            <w:tr w:rsidR="00755358" w:rsidRPr="00DD77BC" w14:paraId="2986C0C3" w14:textId="77777777" w:rsidTr="003D3BA2">
              <w:tc>
                <w:tcPr>
                  <w:tcW w:w="2876" w:type="dxa"/>
                  <w:tcBorders>
                    <w:top w:val="single" w:sz="8" w:space="0" w:color="auto"/>
                    <w:left w:val="single" w:sz="8" w:space="0" w:color="auto"/>
                    <w:bottom w:val="single" w:sz="8" w:space="0" w:color="auto"/>
                    <w:right w:val="single" w:sz="8" w:space="0" w:color="auto"/>
                  </w:tcBorders>
                </w:tcPr>
                <w:p w14:paraId="42E48569" w14:textId="77777777" w:rsidR="00755358" w:rsidRPr="00DD77BC" w:rsidRDefault="00755358" w:rsidP="00755358">
                  <w:pPr>
                    <w:spacing w:line="240" w:lineRule="auto"/>
                    <w:jc w:val="both"/>
                    <w:rPr>
                      <w:rFonts w:eastAsia="Calibri"/>
                      <w:b/>
                      <w:bCs/>
                      <w:sz w:val="20"/>
                      <w:szCs w:val="20"/>
                    </w:rPr>
                  </w:pPr>
                  <w:r w:rsidRPr="00DD77BC">
                    <w:rPr>
                      <w:rFonts w:eastAsia="Calibri"/>
                      <w:b/>
                      <w:bCs/>
                      <w:sz w:val="20"/>
                      <w:szCs w:val="20"/>
                    </w:rPr>
                    <w:lastRenderedPageBreak/>
                    <w:t>Ēku pamatu un grunts bojājumi gruntsūdeņu līmeņa svārstību dēļ</w:t>
                  </w:r>
                </w:p>
              </w:tc>
              <w:tc>
                <w:tcPr>
                  <w:tcW w:w="5675" w:type="dxa"/>
                  <w:tcBorders>
                    <w:top w:val="single" w:sz="8" w:space="0" w:color="auto"/>
                    <w:left w:val="single" w:sz="8" w:space="0" w:color="auto"/>
                    <w:bottom w:val="single" w:sz="8" w:space="0" w:color="auto"/>
                    <w:right w:val="single" w:sz="8" w:space="0" w:color="auto"/>
                  </w:tcBorders>
                </w:tcPr>
                <w:p w14:paraId="53DEE868" w14:textId="77777777" w:rsidR="00755358" w:rsidRPr="00DD77BC" w:rsidRDefault="00755358" w:rsidP="00755358">
                  <w:pPr>
                    <w:spacing w:line="240" w:lineRule="auto"/>
                    <w:jc w:val="both"/>
                    <w:rPr>
                      <w:rFonts w:eastAsia="Calibri"/>
                      <w:sz w:val="20"/>
                      <w:szCs w:val="20"/>
                    </w:rPr>
                  </w:pPr>
                  <w:r w:rsidRPr="00DD77BC">
                    <w:rPr>
                      <w:rFonts w:eastAsia="Calibri"/>
                      <w:sz w:val="20"/>
                      <w:szCs w:val="20"/>
                    </w:rPr>
                    <w:t xml:space="preserve">Apdraudējums ēku un to pamatu konstrukciju noturībai un stabilitātei (vislielākais apdraudējums ir vecām ēkām, kuru pamatu noturībai un hidroizolācijai, ja tāda ir, ir ievērojams nolietojums), ilgtermiņā rada arī mikroplaisas un palielina mitruma iespiešanos ēkas konstrukcijās. </w:t>
                  </w:r>
                </w:p>
              </w:tc>
            </w:tr>
            <w:tr w:rsidR="00755358" w:rsidRPr="00DD77BC" w14:paraId="43AE4271" w14:textId="77777777" w:rsidTr="003D3BA2">
              <w:tc>
                <w:tcPr>
                  <w:tcW w:w="2876" w:type="dxa"/>
                  <w:tcBorders>
                    <w:top w:val="single" w:sz="8" w:space="0" w:color="auto"/>
                    <w:left w:val="single" w:sz="8" w:space="0" w:color="auto"/>
                    <w:bottom w:val="single" w:sz="8" w:space="0" w:color="auto"/>
                    <w:right w:val="single" w:sz="8" w:space="0" w:color="auto"/>
                  </w:tcBorders>
                </w:tcPr>
                <w:p w14:paraId="319DD0A8" w14:textId="77777777" w:rsidR="00755358" w:rsidRPr="00DD77BC" w:rsidRDefault="00755358" w:rsidP="00755358">
                  <w:pPr>
                    <w:spacing w:line="240" w:lineRule="auto"/>
                    <w:jc w:val="both"/>
                    <w:rPr>
                      <w:rFonts w:eastAsia="Calibri"/>
                      <w:b/>
                      <w:bCs/>
                      <w:sz w:val="20"/>
                      <w:szCs w:val="20"/>
                    </w:rPr>
                  </w:pPr>
                  <w:r w:rsidRPr="00DD77BC">
                    <w:rPr>
                      <w:rFonts w:eastAsia="Calibri"/>
                      <w:b/>
                      <w:bCs/>
                      <w:sz w:val="20"/>
                      <w:szCs w:val="20"/>
                    </w:rPr>
                    <w:t>Iekštelpu pārkaršana un elektroenerģijas pieprasījuma pieaugums vasarā</w:t>
                  </w:r>
                </w:p>
              </w:tc>
              <w:tc>
                <w:tcPr>
                  <w:tcW w:w="5675" w:type="dxa"/>
                  <w:tcBorders>
                    <w:top w:val="single" w:sz="8" w:space="0" w:color="auto"/>
                    <w:left w:val="single" w:sz="8" w:space="0" w:color="auto"/>
                    <w:bottom w:val="single" w:sz="8" w:space="0" w:color="auto"/>
                    <w:right w:val="single" w:sz="8" w:space="0" w:color="auto"/>
                  </w:tcBorders>
                </w:tcPr>
                <w:p w14:paraId="0E5A9261" w14:textId="77777777" w:rsidR="00755358" w:rsidRPr="00DD77BC" w:rsidRDefault="00755358" w:rsidP="00755358">
                  <w:pPr>
                    <w:spacing w:line="240" w:lineRule="auto"/>
                    <w:rPr>
                      <w:rFonts w:eastAsia="Calibri"/>
                      <w:sz w:val="20"/>
                      <w:szCs w:val="20"/>
                    </w:rPr>
                  </w:pPr>
                  <w:r w:rsidRPr="00DD77BC">
                    <w:rPr>
                      <w:rFonts w:eastAsia="Calibri"/>
                      <w:sz w:val="20"/>
                      <w:szCs w:val="20"/>
                    </w:rPr>
                    <w:t>Pieprasījuma palielināšanās pēc iekštelpu dzesēšanas; telpu dzesēšanas un ventilācijas investīciju instalēšanas; cilvēku labsajūtas un veselības pasliktināšanās; darba produktivitātes samazināšanās; ārkārtas gadījumu izmaksu paaugstināšanās; investīciju pieaugums sabiedrībai; elektroenerģijas patēriņa un izmaksu pieaugums vasarā.</w:t>
                  </w:r>
                </w:p>
              </w:tc>
            </w:tr>
          </w:tbl>
          <w:p w14:paraId="0F37D387" w14:textId="77777777" w:rsidR="00755358" w:rsidRPr="00DD77BC" w:rsidRDefault="00755358" w:rsidP="00755358">
            <w:pPr>
              <w:spacing w:line="240" w:lineRule="auto"/>
              <w:rPr>
                <w:sz w:val="20"/>
                <w:szCs w:val="20"/>
              </w:rPr>
            </w:pPr>
            <w:r w:rsidRPr="00DD77BC">
              <w:rPr>
                <w:rFonts w:eastAsia="Calibri"/>
                <w:sz w:val="20"/>
                <w:szCs w:val="20"/>
              </w:rPr>
              <w:t xml:space="preserve"> </w:t>
            </w:r>
          </w:p>
          <w:p w14:paraId="6BBA99CA" w14:textId="77777777" w:rsidR="00755358" w:rsidRPr="00DD77BC" w:rsidRDefault="00755358" w:rsidP="00755358">
            <w:pPr>
              <w:spacing w:line="240" w:lineRule="auto"/>
              <w:rPr>
                <w:rFonts w:eastAsia="Calibri"/>
                <w:sz w:val="20"/>
                <w:szCs w:val="20"/>
              </w:rPr>
            </w:pPr>
            <w:r w:rsidRPr="00DD77BC">
              <w:rPr>
                <w:rFonts w:eastAsia="Calibri"/>
                <w:b/>
                <w:bCs/>
                <w:sz w:val="20"/>
                <w:szCs w:val="20"/>
              </w:rPr>
              <w:t>Potenciālās plānotās aktivitātes un to sasaiste ar pielāgošanās klimata pārmaiņām mērķiem</w:t>
            </w:r>
            <w:r w:rsidRPr="00DD77BC">
              <w:rPr>
                <w:rFonts w:eastAsia="Calibri"/>
                <w:sz w:val="20"/>
                <w:szCs w:val="20"/>
              </w:rPr>
              <w:t xml:space="preserve"> </w:t>
            </w:r>
          </w:p>
          <w:p w14:paraId="70AAB99D" w14:textId="736BDA6D" w:rsidR="00755358" w:rsidRPr="00DD77BC" w:rsidRDefault="00EC03F1" w:rsidP="00755358">
            <w:pPr>
              <w:pStyle w:val="ListParagraph"/>
              <w:numPr>
                <w:ilvl w:val="0"/>
                <w:numId w:val="9"/>
              </w:numPr>
              <w:spacing w:after="160" w:line="240" w:lineRule="auto"/>
              <w:jc w:val="both"/>
              <w:rPr>
                <w:rFonts w:ascii="Times New Roman" w:eastAsiaTheme="minorEastAsia" w:hAnsi="Times New Roman" w:cs="Times New Roman"/>
                <w:sz w:val="20"/>
                <w:szCs w:val="20"/>
                <w:lang w:val="lv-LV"/>
              </w:rPr>
            </w:pPr>
            <w:r w:rsidRPr="00DD77BC">
              <w:rPr>
                <w:rFonts w:ascii="Times New Roman" w:eastAsia="Calibri" w:hAnsi="Times New Roman" w:cs="Times New Roman"/>
                <w:sz w:val="20"/>
                <w:szCs w:val="20"/>
                <w:lang w:val="lv-LV"/>
              </w:rPr>
              <w:t>jaunās p</w:t>
            </w:r>
            <w:r w:rsidR="00D929BE" w:rsidRPr="00DD77BC">
              <w:rPr>
                <w:rFonts w:ascii="Times New Roman" w:eastAsia="Calibri" w:hAnsi="Times New Roman" w:cs="Times New Roman"/>
                <w:sz w:val="20"/>
                <w:szCs w:val="20"/>
                <w:lang w:val="lv-LV"/>
              </w:rPr>
              <w:t>ašvaldību sociālās un</w:t>
            </w:r>
            <w:r w:rsidR="00755358" w:rsidRPr="00DD77BC">
              <w:rPr>
                <w:rFonts w:ascii="Times New Roman" w:eastAsia="Calibri" w:hAnsi="Times New Roman" w:cs="Times New Roman"/>
                <w:sz w:val="20"/>
                <w:szCs w:val="20"/>
                <w:lang w:val="lv-LV"/>
              </w:rPr>
              <w:t xml:space="preserve"> īres</w:t>
            </w:r>
            <w:r w:rsidR="00D929BE" w:rsidRPr="00DD77BC">
              <w:rPr>
                <w:rFonts w:ascii="Times New Roman" w:eastAsia="Calibri" w:hAnsi="Times New Roman" w:cs="Times New Roman"/>
                <w:sz w:val="20"/>
                <w:szCs w:val="20"/>
                <w:lang w:val="lv-LV"/>
              </w:rPr>
              <w:t xml:space="preserve"> dzīvojamās</w:t>
            </w:r>
            <w:r w:rsidR="00755358" w:rsidRPr="00DD77BC">
              <w:rPr>
                <w:rFonts w:ascii="Times New Roman" w:eastAsia="Calibri" w:hAnsi="Times New Roman" w:cs="Times New Roman"/>
                <w:sz w:val="20"/>
                <w:szCs w:val="20"/>
                <w:lang w:val="lv-LV"/>
              </w:rPr>
              <w:t xml:space="preserve"> mājas tiks būvētas atbilstoši prognozētam klimata pārmaiņu radītajam nokrišņu intensitātes palielinājumam, paredzot atbilstošus lietus notekūdeņu sistēmu risinājumus </w:t>
            </w:r>
            <w:r w:rsidR="00755358" w:rsidRPr="00DD77BC">
              <w:rPr>
                <w:rFonts w:ascii="Times New Roman" w:eastAsia="Times New Roman" w:hAnsi="Times New Roman" w:cs="Times New Roman"/>
                <w:sz w:val="20"/>
                <w:szCs w:val="20"/>
                <w:lang w:val="lv-LV" w:eastAsia="lv-LV"/>
              </w:rPr>
              <w:t>atbilstoši LBN 223-15 noteiktajām prasībām un saskaņā ar LBN 003-19 ietvertajiem klimatoloģiskajiem datiem.</w:t>
            </w:r>
          </w:p>
          <w:p w14:paraId="6A41CAB3" w14:textId="3205D8E0" w:rsidR="00755358" w:rsidRPr="00DD77BC" w:rsidRDefault="48D3DD2F" w:rsidP="3F75BD15">
            <w:pPr>
              <w:pStyle w:val="ListParagraph"/>
              <w:numPr>
                <w:ilvl w:val="0"/>
                <w:numId w:val="9"/>
              </w:numPr>
              <w:spacing w:after="160" w:line="240" w:lineRule="auto"/>
              <w:jc w:val="both"/>
              <w:rPr>
                <w:rFonts w:ascii="Times New Roman" w:eastAsiaTheme="minorEastAsia" w:hAnsi="Times New Roman" w:cs="Times New Roman"/>
                <w:sz w:val="20"/>
                <w:szCs w:val="20"/>
                <w:lang w:val="lv-LV"/>
              </w:rPr>
            </w:pPr>
            <w:r w:rsidRPr="00DD77BC">
              <w:rPr>
                <w:rFonts w:ascii="Times New Roman" w:eastAsia="Calibri" w:hAnsi="Times New Roman" w:cs="Times New Roman"/>
                <w:sz w:val="20"/>
                <w:szCs w:val="20"/>
                <w:lang w:val="lv-LV"/>
              </w:rPr>
              <w:t xml:space="preserve">Tā kā viens no prognozētajiem klimata pārmaiņu izraisītajiem riskiem būvniecībā ir iekštelpu pārkaršana, </w:t>
            </w:r>
            <w:r w:rsidR="003F1819" w:rsidRPr="00DD77BC">
              <w:rPr>
                <w:rFonts w:ascii="Times New Roman" w:eastAsia="Calibri" w:hAnsi="Times New Roman" w:cs="Times New Roman"/>
                <w:sz w:val="20"/>
                <w:szCs w:val="20"/>
                <w:lang w:val="lv-LV"/>
              </w:rPr>
              <w:t xml:space="preserve">jauno </w:t>
            </w:r>
            <w:r w:rsidR="00626FA2" w:rsidRPr="00DD77BC">
              <w:rPr>
                <w:rFonts w:ascii="Times New Roman" w:eastAsia="Calibri" w:hAnsi="Times New Roman" w:cs="Times New Roman"/>
                <w:sz w:val="20"/>
                <w:szCs w:val="20"/>
                <w:lang w:val="lv-LV"/>
              </w:rPr>
              <w:t>pašvaldību sociāl</w:t>
            </w:r>
            <w:r w:rsidR="00302A1F" w:rsidRPr="00DD77BC">
              <w:rPr>
                <w:rFonts w:ascii="Times New Roman" w:eastAsia="Calibri" w:hAnsi="Times New Roman" w:cs="Times New Roman"/>
                <w:sz w:val="20"/>
                <w:szCs w:val="20"/>
                <w:lang w:val="lv-LV"/>
              </w:rPr>
              <w:t>o</w:t>
            </w:r>
            <w:r w:rsidR="00626FA2" w:rsidRPr="00DD77BC">
              <w:rPr>
                <w:rFonts w:ascii="Times New Roman" w:eastAsia="Calibri" w:hAnsi="Times New Roman" w:cs="Times New Roman"/>
                <w:sz w:val="20"/>
                <w:szCs w:val="20"/>
                <w:lang w:val="lv-LV"/>
              </w:rPr>
              <w:t xml:space="preserve"> un īres dzīvojamo māju </w:t>
            </w:r>
            <w:r w:rsidRPr="00DD77BC">
              <w:rPr>
                <w:rFonts w:ascii="Times New Roman" w:eastAsia="Calibri" w:hAnsi="Times New Roman" w:cs="Times New Roman"/>
                <w:sz w:val="20"/>
                <w:szCs w:val="20"/>
                <w:lang w:val="lv-LV"/>
              </w:rPr>
              <w:t xml:space="preserve">būvniecības </w:t>
            </w:r>
            <w:r w:rsidR="007B2C35" w:rsidRPr="00DD77BC">
              <w:rPr>
                <w:rFonts w:ascii="Times New Roman" w:eastAsia="Calibri" w:hAnsi="Times New Roman" w:cs="Times New Roman"/>
                <w:sz w:val="20"/>
                <w:szCs w:val="20"/>
                <w:lang w:val="lv-LV"/>
              </w:rPr>
              <w:t>darbu laikā būs jāievēro vispārpiemērojamās un vispārsaistošās būvniecību regulējošo normatīvo aktu, tai skaitā, L</w:t>
            </w:r>
            <w:r w:rsidR="004D41AE" w:rsidRPr="00DD77BC">
              <w:rPr>
                <w:rFonts w:ascii="Times New Roman" w:eastAsia="Calibri" w:hAnsi="Times New Roman" w:cs="Times New Roman"/>
                <w:sz w:val="20"/>
                <w:szCs w:val="20"/>
                <w:lang w:val="lv-LV"/>
              </w:rPr>
              <w:t>BN, prasības, cita starpā, arī attiecībā uz apkures sistēmu un ventilācijas sistēmu projektēšanu un izbūvi, kā arī energoefektivitātes prasības.</w:t>
            </w:r>
          </w:p>
          <w:p w14:paraId="790A2112" w14:textId="77777777" w:rsidR="00755358" w:rsidRPr="00DD77BC" w:rsidRDefault="00755358" w:rsidP="00755358">
            <w:pPr>
              <w:spacing w:line="240" w:lineRule="auto"/>
              <w:rPr>
                <w:rFonts w:eastAsia="Calibri"/>
                <w:b/>
                <w:bCs/>
                <w:sz w:val="20"/>
                <w:szCs w:val="20"/>
              </w:rPr>
            </w:pPr>
            <w:r w:rsidRPr="00DD77BC">
              <w:rPr>
                <w:rFonts w:eastAsia="Calibri"/>
                <w:b/>
                <w:bCs/>
                <w:sz w:val="20"/>
                <w:szCs w:val="20"/>
              </w:rPr>
              <w:t>Sasaiste ar nacionālajiem pielāgošanās klimata pārmaiņām mērķiem</w:t>
            </w:r>
          </w:p>
          <w:p w14:paraId="657F05BB" w14:textId="255DC4A5" w:rsidR="00755358" w:rsidRPr="00DD77BC" w:rsidRDefault="48D3DD2F" w:rsidP="001219DF">
            <w:pPr>
              <w:spacing w:line="240" w:lineRule="auto"/>
              <w:jc w:val="both"/>
              <w:rPr>
                <w:rFonts w:eastAsia="Calibri"/>
                <w:sz w:val="20"/>
                <w:szCs w:val="20"/>
              </w:rPr>
            </w:pPr>
            <w:r w:rsidRPr="00DD77BC">
              <w:rPr>
                <w:rFonts w:eastAsia="Calibri"/>
                <w:sz w:val="20"/>
                <w:szCs w:val="20"/>
              </w:rPr>
              <w:t>Ņemot vērā klimata pārmaiņu prognozes Latvijai, ēku būvniecībā tiks nodrošināta pielāgošanās arī plūdiem (saskaņā ar Plūdu risku pārvaldības plāniem vai pašvaldību pielāgošanās klimata pārmaiņām stratēģijām (integrētām pašvaldību attīstības plānošanas dokumentos), nodrošinot ēku un infrastruktūras pretplūdu aizsardzību, izbūvējot noteces, nodrošinot atbilstošu hidroizolāciju un citus risinājumus). Tāpat, atbilstoši prognozēm, tiks nodrošināta pielāgošānās karstuma viļņiem, plānojot tādu iekštelpu gaisa apmaiņu un ventilāciju, kā arī mazināts kaitējums veselībai, veicinot pielāgošanās klimata pārmaiņām mērķu sasniegšanu, novēršot ekstremālu gaisa temperatūru maiņu ietekmi uz cilvēku.</w:t>
            </w:r>
          </w:p>
          <w:p w14:paraId="7F25B9AB" w14:textId="1C6F19A8" w:rsidR="00892C6F" w:rsidRPr="00DD77BC" w:rsidRDefault="00AD7A4D" w:rsidP="00206211">
            <w:pPr>
              <w:spacing w:line="240" w:lineRule="auto"/>
              <w:jc w:val="both"/>
              <w:rPr>
                <w:rFonts w:eastAsia="Calibri"/>
                <w:sz w:val="20"/>
                <w:szCs w:val="20"/>
              </w:rPr>
            </w:pPr>
            <w:r w:rsidRPr="00DD77BC">
              <w:rPr>
                <w:rFonts w:eastAsia="Calibri"/>
                <w:sz w:val="20"/>
                <w:szCs w:val="20"/>
              </w:rPr>
              <w:t xml:space="preserve">Minēto prasību izpilde tiks nodrošināta tādā veidā, ka </w:t>
            </w:r>
            <w:r w:rsidR="00E57F7C" w:rsidRPr="00DD77BC">
              <w:rPr>
                <w:rFonts w:eastAsia="Calibri"/>
                <w:sz w:val="20"/>
                <w:szCs w:val="20"/>
              </w:rPr>
              <w:t xml:space="preserve">dzīvojamās mājas būvniecības gadījumā </w:t>
            </w:r>
            <w:r w:rsidR="00894A46" w:rsidRPr="00DD77BC">
              <w:rPr>
                <w:rFonts w:eastAsia="Calibri"/>
                <w:sz w:val="20"/>
                <w:szCs w:val="20"/>
              </w:rPr>
              <w:t>pieminēto būvnormatīvu L</w:t>
            </w:r>
            <w:r w:rsidR="005D6213" w:rsidRPr="00DD77BC">
              <w:rPr>
                <w:rFonts w:eastAsia="Calibri"/>
                <w:sz w:val="20"/>
                <w:szCs w:val="20"/>
              </w:rPr>
              <w:t>B</w:t>
            </w:r>
            <w:r w:rsidR="00894A46" w:rsidRPr="00DD77BC">
              <w:rPr>
                <w:rFonts w:eastAsia="Calibri"/>
                <w:sz w:val="20"/>
                <w:szCs w:val="20"/>
              </w:rPr>
              <w:t>N 223-15 un</w:t>
            </w:r>
            <w:r w:rsidR="005D6213" w:rsidRPr="00DD77BC">
              <w:rPr>
                <w:rFonts w:eastAsia="Calibri"/>
                <w:sz w:val="20"/>
                <w:szCs w:val="20"/>
              </w:rPr>
              <w:t xml:space="preserve"> LB</w:t>
            </w:r>
            <w:r w:rsidR="00225541" w:rsidRPr="00DD77BC">
              <w:rPr>
                <w:rFonts w:eastAsia="Calibri"/>
                <w:sz w:val="20"/>
                <w:szCs w:val="20"/>
              </w:rPr>
              <w:t>N</w:t>
            </w:r>
            <w:r w:rsidR="005D6213" w:rsidRPr="00DD77BC">
              <w:rPr>
                <w:rFonts w:eastAsia="Calibri"/>
                <w:sz w:val="20"/>
                <w:szCs w:val="20"/>
              </w:rPr>
              <w:t xml:space="preserve"> 003-19 </w:t>
            </w:r>
            <w:r w:rsidR="00E57F7C" w:rsidRPr="00DD77BC">
              <w:rPr>
                <w:rFonts w:eastAsia="Calibri"/>
                <w:sz w:val="20"/>
                <w:szCs w:val="20"/>
              </w:rPr>
              <w:t xml:space="preserve"> piemērošanas obligātums izriet jau no Būvniecības likuma, kurš paģēr </w:t>
            </w:r>
            <w:r w:rsidR="002B1570" w:rsidRPr="00DD77BC">
              <w:rPr>
                <w:rFonts w:eastAsia="Calibri"/>
                <w:sz w:val="20"/>
                <w:szCs w:val="20"/>
              </w:rPr>
              <w:t>to piemērošanu</w:t>
            </w:r>
            <w:r w:rsidR="002B2507" w:rsidRPr="00DD77BC">
              <w:rPr>
                <w:rFonts w:eastAsia="Calibri"/>
                <w:sz w:val="20"/>
                <w:szCs w:val="20"/>
              </w:rPr>
              <w:t xml:space="preserve">. </w:t>
            </w:r>
          </w:p>
          <w:p w14:paraId="675CEDB0" w14:textId="5699DC6F" w:rsidR="00892C6F" w:rsidRPr="00DD77BC" w:rsidRDefault="00892C6F">
            <w:pPr>
              <w:spacing w:line="240" w:lineRule="auto"/>
              <w:jc w:val="both"/>
              <w:rPr>
                <w:rFonts w:eastAsia="Calibri"/>
                <w:sz w:val="20"/>
                <w:szCs w:val="20"/>
              </w:rPr>
            </w:pPr>
            <w:r w:rsidRPr="00DD77BC">
              <w:rPr>
                <w:rFonts w:eastAsia="Calibri"/>
                <w:sz w:val="20"/>
                <w:szCs w:val="20"/>
              </w:rPr>
              <w:t>Papildus norādām, ka cita starpā, atbilstoši Ministru kabineta 2021.gada 8.aprīļa noteikumu Nr. 222 "Ēku energoefektivitātes aprēķina metodes un ēku energosertifikācijas noteikumi" 10. un 11.punktā ir noteiktas arī  prasības ventilācijai un dzesēšanai gandrīz nulles enerģijas ēkām.</w:t>
            </w:r>
          </w:p>
          <w:p w14:paraId="284ABEF8" w14:textId="731760EF" w:rsidR="00AD7A4D" w:rsidRPr="00DD77BC" w:rsidRDefault="00892C6F">
            <w:pPr>
              <w:spacing w:line="240" w:lineRule="auto"/>
              <w:jc w:val="both"/>
              <w:rPr>
                <w:sz w:val="20"/>
                <w:szCs w:val="20"/>
                <w:lang w:eastAsia="lv-LV"/>
              </w:rPr>
            </w:pPr>
            <w:r w:rsidRPr="00DD77BC">
              <w:rPr>
                <w:rFonts w:eastAsia="Calibri"/>
                <w:sz w:val="20"/>
                <w:szCs w:val="20"/>
              </w:rPr>
              <w:t>T</w:t>
            </w:r>
            <w:r w:rsidR="00E30DAA" w:rsidRPr="00DD77BC">
              <w:rPr>
                <w:rFonts w:eastAsia="Calibri"/>
                <w:sz w:val="20"/>
                <w:szCs w:val="20"/>
              </w:rPr>
              <w:t xml:space="preserve">o izpildes kontrole tiek nodrošināta būvniecības procesu reglamentējošo normatīvo aktu </w:t>
            </w:r>
            <w:r w:rsidR="00894A46" w:rsidRPr="00DD77BC">
              <w:rPr>
                <w:rFonts w:eastAsia="Calibri"/>
                <w:sz w:val="20"/>
                <w:szCs w:val="20"/>
              </w:rPr>
              <w:t xml:space="preserve">noteiktajā apjomā un kārtībā. </w:t>
            </w:r>
          </w:p>
        </w:tc>
      </w:tr>
      <w:tr w:rsidR="00755358" w:rsidRPr="00DD77BC" w14:paraId="22E600BA" w14:textId="77777777" w:rsidTr="3013ECA5">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786D2DE7" w14:textId="77777777" w:rsidR="00755358" w:rsidRPr="00DD77BC" w:rsidRDefault="00755358" w:rsidP="00755358">
            <w:pPr>
              <w:spacing w:line="240" w:lineRule="auto"/>
              <w:jc w:val="both"/>
              <w:rPr>
                <w:rFonts w:eastAsia="Times New Roman"/>
                <w:b/>
                <w:bCs/>
                <w:sz w:val="20"/>
                <w:szCs w:val="20"/>
                <w:lang w:eastAsia="lv-LV"/>
              </w:rPr>
            </w:pPr>
            <w:r w:rsidRPr="00DD77BC">
              <w:rPr>
                <w:rFonts w:eastAsia="Times New Roman"/>
                <w:b/>
                <w:bCs/>
                <w:sz w:val="20"/>
                <w:szCs w:val="20"/>
                <w:lang w:eastAsia="lv-LV"/>
              </w:rPr>
              <w:lastRenderedPageBreak/>
              <w:t xml:space="preserve">Ilgtspējīga ūdens un jūras resursu izmantošana un aizsardzība. </w:t>
            </w:r>
          </w:p>
          <w:p w14:paraId="0F86F301" w14:textId="77777777" w:rsidR="00755358" w:rsidRPr="00DD77BC" w:rsidRDefault="00755358" w:rsidP="00755358">
            <w:pPr>
              <w:spacing w:line="240" w:lineRule="auto"/>
              <w:jc w:val="both"/>
              <w:rPr>
                <w:rFonts w:eastAsia="Times New Roman"/>
                <w:sz w:val="20"/>
                <w:szCs w:val="20"/>
                <w:lang w:eastAsia="lv-LV"/>
              </w:rPr>
            </w:pPr>
            <w:r w:rsidRPr="00DD77BC">
              <w:rPr>
                <w:rFonts w:eastAsia="Times New Roman"/>
                <w:sz w:val="20"/>
                <w:szCs w:val="20"/>
                <w:lang w:eastAsia="lv-LV"/>
              </w:rPr>
              <w:t xml:space="preserve">Vai paredzams, ka pasākums kaitēs: </w:t>
            </w:r>
          </w:p>
          <w:p w14:paraId="4725190C" w14:textId="77777777" w:rsidR="00755358" w:rsidRPr="00DD77BC" w:rsidRDefault="00755358" w:rsidP="00755358">
            <w:pPr>
              <w:spacing w:line="240" w:lineRule="auto"/>
              <w:jc w:val="both"/>
              <w:rPr>
                <w:rFonts w:eastAsia="Times New Roman"/>
                <w:sz w:val="20"/>
                <w:szCs w:val="20"/>
                <w:lang w:eastAsia="lv-LV"/>
              </w:rPr>
            </w:pPr>
            <w:r w:rsidRPr="00DD77BC">
              <w:rPr>
                <w:rFonts w:eastAsia="Times New Roman"/>
                <w:sz w:val="20"/>
                <w:szCs w:val="20"/>
                <w:lang w:eastAsia="lv-LV"/>
              </w:rPr>
              <w:t xml:space="preserve">(i) ūdensobjektu labam stāvoklim vai to labam ekoloģiskajam potenciālam, ieskaitot virszemes ūdeņus un gruntsūdeņus; vai </w:t>
            </w:r>
          </w:p>
          <w:p w14:paraId="753EB739" w14:textId="77777777" w:rsidR="00755358" w:rsidRPr="00DD77BC" w:rsidRDefault="00755358" w:rsidP="00755358">
            <w:pPr>
              <w:spacing w:line="240" w:lineRule="auto"/>
              <w:jc w:val="both"/>
              <w:rPr>
                <w:sz w:val="20"/>
                <w:szCs w:val="20"/>
              </w:rPr>
            </w:pPr>
            <w:r w:rsidRPr="00DD77BC">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2080C0F" w14:textId="737F673D" w:rsidR="00755358" w:rsidRPr="00DD77BC" w:rsidRDefault="000D4AF1" w:rsidP="00755358">
            <w:pPr>
              <w:spacing w:line="240" w:lineRule="auto"/>
              <w:jc w:val="center"/>
              <w:rPr>
                <w:rFonts w:eastAsia="Times New Roman"/>
                <w:b/>
                <w:bCs/>
                <w:sz w:val="20"/>
                <w:szCs w:val="20"/>
                <w:lang w:eastAsia="lv-LV"/>
              </w:rPr>
            </w:pPr>
            <w:r w:rsidRPr="00DD77BC">
              <w:rPr>
                <w:rFonts w:eastAsia="Times New Roman"/>
                <w:b/>
                <w:bCs/>
                <w:sz w:val="20"/>
                <w:szCs w:val="20"/>
                <w:lang w:eastAsia="lv-LV"/>
              </w:rPr>
              <w:t>X</w:t>
            </w:r>
          </w:p>
        </w:tc>
        <w:tc>
          <w:tcPr>
            <w:tcW w:w="116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38AA373" w14:textId="77777777" w:rsidR="00D929BE" w:rsidRPr="00DD77BC" w:rsidRDefault="00D929BE" w:rsidP="00D929BE">
            <w:pPr>
              <w:spacing w:line="240" w:lineRule="auto"/>
              <w:rPr>
                <w:rFonts w:eastAsia="Times New Roman"/>
                <w:sz w:val="20"/>
                <w:szCs w:val="20"/>
                <w:lang w:eastAsia="lv-LV"/>
              </w:rPr>
            </w:pPr>
            <w:r w:rsidRPr="00DD77BC">
              <w:rPr>
                <w:rFonts w:eastAsia="Times New Roman"/>
                <w:sz w:val="20"/>
                <w:szCs w:val="20"/>
                <w:lang w:eastAsia="lv-LV"/>
              </w:rPr>
              <w:t>Pasākuma paredzamā ietekme ir nebūtiska:</w:t>
            </w:r>
          </w:p>
          <w:p w14:paraId="54792EC5" w14:textId="194DBB6C" w:rsidR="00D929BE" w:rsidRPr="00DD77BC" w:rsidRDefault="00302A1F" w:rsidP="00D929BE">
            <w:pPr>
              <w:pStyle w:val="ListParagraph"/>
              <w:numPr>
                <w:ilvl w:val="0"/>
                <w:numId w:val="10"/>
              </w:numPr>
              <w:spacing w:line="240" w:lineRule="auto"/>
              <w:jc w:val="both"/>
              <w:rPr>
                <w:rFonts w:ascii="Times New Roman" w:eastAsiaTheme="minorEastAsia" w:hAnsi="Times New Roman" w:cs="Times New Roman"/>
                <w:sz w:val="20"/>
                <w:szCs w:val="20"/>
                <w:lang w:val="lv-LV" w:eastAsia="lv-LV"/>
              </w:rPr>
            </w:pPr>
            <w:r w:rsidRPr="00DD77BC">
              <w:rPr>
                <w:rFonts w:ascii="Times New Roman" w:eastAsia="Times New Roman" w:hAnsi="Times New Roman" w:cs="Times New Roman"/>
                <w:sz w:val="20"/>
                <w:szCs w:val="20"/>
                <w:lang w:val="lv-LV" w:eastAsia="lv-LV"/>
              </w:rPr>
              <w:t>Jaunas p</w:t>
            </w:r>
            <w:r w:rsidR="00DB0D12" w:rsidRPr="00DD77BC">
              <w:rPr>
                <w:rFonts w:ascii="Times New Roman" w:eastAsia="Times New Roman" w:hAnsi="Times New Roman" w:cs="Times New Roman"/>
                <w:sz w:val="20"/>
                <w:szCs w:val="20"/>
                <w:lang w:val="lv-LV" w:eastAsia="lv-LV"/>
              </w:rPr>
              <w:t xml:space="preserve">ašvaldību īres un sociālās mājas tiks būvētas </w:t>
            </w:r>
            <w:r w:rsidR="00206211" w:rsidRPr="00DD77BC">
              <w:rPr>
                <w:rFonts w:ascii="Times New Roman" w:eastAsia="Times New Roman" w:hAnsi="Times New Roman" w:cs="Times New Roman"/>
                <w:sz w:val="20"/>
                <w:szCs w:val="20"/>
                <w:lang w:val="lv-LV" w:eastAsia="lv-LV"/>
              </w:rPr>
              <w:t>pašvaldībās</w:t>
            </w:r>
            <w:r w:rsidR="00D929BE" w:rsidRPr="00DD77BC">
              <w:rPr>
                <w:rFonts w:ascii="Times New Roman" w:eastAsia="Times New Roman" w:hAnsi="Times New Roman" w:cs="Times New Roman"/>
                <w:sz w:val="20"/>
                <w:szCs w:val="20"/>
                <w:lang w:val="lv-LV" w:eastAsia="lv-LV"/>
              </w:rPr>
              <w:t>.</w:t>
            </w:r>
            <w:r w:rsidR="00DB0D12" w:rsidRPr="00DD77BC">
              <w:rPr>
                <w:rFonts w:ascii="Times New Roman" w:eastAsia="Times New Roman" w:hAnsi="Times New Roman" w:cs="Times New Roman"/>
                <w:sz w:val="20"/>
                <w:szCs w:val="20"/>
                <w:lang w:val="lv-LV" w:eastAsia="lv-LV"/>
              </w:rPr>
              <w:t xml:space="preserve"> </w:t>
            </w:r>
            <w:r w:rsidR="00D929BE" w:rsidRPr="00DD77BC">
              <w:rPr>
                <w:rFonts w:ascii="Times New Roman" w:eastAsia="Times New Roman" w:hAnsi="Times New Roman" w:cs="Times New Roman"/>
                <w:sz w:val="20"/>
                <w:szCs w:val="20"/>
                <w:lang w:val="lv-LV" w:eastAsia="lv-LV"/>
              </w:rPr>
              <w:t xml:space="preserve">Šo dzīvojamo māju pieslēgšana pie centralizētajām ūdensapgādes, kanalizācijas un siltumapgādes sistēmām tiks nodrošināta saskaņā ar pašvaldību saistošajiem noteikumiem. </w:t>
            </w:r>
          </w:p>
          <w:p w14:paraId="6E025BA5" w14:textId="77777777" w:rsidR="00755358" w:rsidRPr="00DD77BC" w:rsidRDefault="003E3158" w:rsidP="00D929BE">
            <w:pPr>
              <w:pStyle w:val="ListParagraph"/>
              <w:numPr>
                <w:ilvl w:val="0"/>
                <w:numId w:val="10"/>
              </w:numPr>
              <w:spacing w:line="240" w:lineRule="auto"/>
              <w:jc w:val="both"/>
              <w:rPr>
                <w:rFonts w:ascii="Times New Roman" w:eastAsiaTheme="minorEastAsia" w:hAnsi="Times New Roman" w:cs="Times New Roman"/>
                <w:sz w:val="20"/>
                <w:szCs w:val="20"/>
                <w:lang w:val="lv-LV" w:eastAsia="lv-LV"/>
              </w:rPr>
            </w:pPr>
            <w:r w:rsidRPr="00DD77BC">
              <w:rPr>
                <w:rFonts w:ascii="Times New Roman" w:eastAsia="Times New Roman" w:hAnsi="Times New Roman" w:cs="Times New Roman"/>
                <w:sz w:val="20"/>
                <w:szCs w:val="20"/>
                <w:lang w:val="lv-LV" w:eastAsia="lv-LV"/>
              </w:rPr>
              <w:t xml:space="preserve">Jaunu </w:t>
            </w:r>
            <w:r w:rsidR="000F1BCD" w:rsidRPr="00DD77BC">
              <w:rPr>
                <w:rFonts w:ascii="Times New Roman" w:eastAsia="Times New Roman" w:hAnsi="Times New Roman" w:cs="Times New Roman"/>
                <w:sz w:val="20"/>
                <w:szCs w:val="20"/>
                <w:lang w:val="lv-LV" w:eastAsia="lv-LV"/>
              </w:rPr>
              <w:t>pašvaldības īres un sociālo dzīvojamo māju būvniecības gadījumā t</w:t>
            </w:r>
            <w:r w:rsidR="00D929BE" w:rsidRPr="00DD77BC">
              <w:rPr>
                <w:rFonts w:ascii="Times New Roman" w:eastAsia="Times New Roman" w:hAnsi="Times New Roman" w:cs="Times New Roman"/>
                <w:sz w:val="20"/>
                <w:szCs w:val="20"/>
                <w:lang w:val="lv-LV" w:eastAsia="lv-LV"/>
              </w:rPr>
              <w:t>iks paredzēta lietus ūdeņu savākšanas un novadīšanas sistēmu izbūve atbilstoši LBN 223-15 noteiktajām prasībām un saskaņā ar LBN 003-19 ietvertajiem klimatoloģiskajiem datiem, lai mazinātu applūšanas riskus spēcīgu lietusgāžu gadījumā.</w:t>
            </w:r>
          </w:p>
          <w:p w14:paraId="09C342CA" w14:textId="303BB532" w:rsidR="002B2507" w:rsidRPr="00DD77BC" w:rsidRDefault="002B2507" w:rsidP="00225541">
            <w:pPr>
              <w:spacing w:line="240" w:lineRule="auto"/>
              <w:jc w:val="both"/>
              <w:rPr>
                <w:rFonts w:eastAsiaTheme="minorEastAsia"/>
                <w:sz w:val="20"/>
                <w:szCs w:val="20"/>
                <w:lang w:eastAsia="lv-LV"/>
              </w:rPr>
            </w:pPr>
            <w:r w:rsidRPr="00DD77BC">
              <w:rPr>
                <w:rFonts w:eastAsia="Calibri"/>
                <w:sz w:val="20"/>
                <w:szCs w:val="20"/>
              </w:rPr>
              <w:t>Minēto prasību izpilde tiks nodrošināta tādā veidā, ka dzīvojamās mājas būvniecības gadījumā pieminēto būvnormatīvu LBN 223-15 un LB 003-19  piemērošanas obligātums izriet jau no Būvniecības likuma, kurš paģēr to piemērošanu. To izpildes kontrole tiek nodrošināta būvniecības procesu reglamentējošo normatīvo aktu noteiktajā apjomā un kārtībā.</w:t>
            </w:r>
          </w:p>
        </w:tc>
      </w:tr>
      <w:tr w:rsidR="00DB0D12" w:rsidRPr="00DD77BC" w14:paraId="23F5133E" w14:textId="77777777" w:rsidTr="3013ECA5">
        <w:trPr>
          <w:trHeight w:val="176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6CB692A9" w14:textId="77777777" w:rsidR="00DB0D12" w:rsidRPr="00DD77BC" w:rsidRDefault="00DB0D12" w:rsidP="00DB0D12">
            <w:pPr>
              <w:spacing w:line="240" w:lineRule="auto"/>
              <w:jc w:val="both"/>
              <w:rPr>
                <w:rFonts w:eastAsia="Times New Roman"/>
                <w:sz w:val="20"/>
                <w:szCs w:val="20"/>
                <w:lang w:eastAsia="lv-LV"/>
              </w:rPr>
            </w:pPr>
            <w:r w:rsidRPr="00DD77BC">
              <w:rPr>
                <w:rFonts w:eastAsia="Times New Roman"/>
                <w:b/>
                <w:bCs/>
                <w:sz w:val="20"/>
                <w:szCs w:val="20"/>
                <w:lang w:eastAsia="lv-LV"/>
              </w:rPr>
              <w:lastRenderedPageBreak/>
              <w:t>Pāreja uz aprites ekonomiku, ieskaitot atkritumu rašanās novēršanu un to reciklēšanu</w:t>
            </w:r>
            <w:r w:rsidRPr="00DD77BC">
              <w:rPr>
                <w:rFonts w:eastAsia="Times New Roman"/>
                <w:sz w:val="20"/>
                <w:szCs w:val="20"/>
                <w:lang w:eastAsia="lv-LV"/>
              </w:rPr>
              <w:t xml:space="preserve">. </w:t>
            </w:r>
          </w:p>
          <w:p w14:paraId="332549B4" w14:textId="77777777" w:rsidR="00DB0D12" w:rsidRPr="00DD77BC" w:rsidRDefault="00DB0D12" w:rsidP="00DB0D12">
            <w:pPr>
              <w:spacing w:line="240" w:lineRule="auto"/>
              <w:jc w:val="both"/>
              <w:rPr>
                <w:rFonts w:eastAsia="Times New Roman"/>
                <w:sz w:val="20"/>
                <w:szCs w:val="20"/>
                <w:lang w:eastAsia="lv-LV"/>
              </w:rPr>
            </w:pPr>
            <w:r w:rsidRPr="00DD77BC">
              <w:rPr>
                <w:rFonts w:eastAsia="Times New Roman"/>
                <w:sz w:val="20"/>
                <w:szCs w:val="20"/>
                <w:lang w:eastAsia="lv-LV"/>
              </w:rPr>
              <w:t xml:space="preserve">Vai paredzams, ka pasākums: </w:t>
            </w:r>
          </w:p>
          <w:p w14:paraId="38895AA1" w14:textId="77777777" w:rsidR="00DB0D12" w:rsidRPr="00DD77BC" w:rsidRDefault="00DB0D12" w:rsidP="00DB0D12">
            <w:pPr>
              <w:spacing w:line="240" w:lineRule="auto"/>
              <w:jc w:val="both"/>
              <w:rPr>
                <w:sz w:val="20"/>
                <w:szCs w:val="20"/>
              </w:rPr>
            </w:pPr>
            <w:r w:rsidRPr="00DD77BC">
              <w:rPr>
                <w:rFonts w:eastAsia="Times New Roman"/>
                <w:sz w:val="20"/>
                <w:szCs w:val="20"/>
                <w:lang w:eastAsia="lv-LV"/>
              </w:rPr>
              <w:t>(i) būtiski palielinās atkritumu rašanos, incinerāciju vai apglabāšanu, izņemot nepārstrādājamu bīstamo atkritumu incinerāciju; vai</w:t>
            </w:r>
            <w:r w:rsidRPr="00DD77BC">
              <w:rPr>
                <w:rFonts w:eastAsia="Times New Roman"/>
                <w:sz w:val="20"/>
                <w:szCs w:val="20"/>
                <w:lang w:eastAsia="lv-LV"/>
              </w:rPr>
              <w:br/>
              <w:t>(ii) dabas resursu tiešā vai netiešā izmantošanā jebkurā to aprites cikla posmā radīs būtisku neefektivitāti, kas netiek samazināta līdz minimumam ar atbilstošiem pasākumiem; vai</w:t>
            </w:r>
            <w:r w:rsidRPr="00DD77BC">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8669CF9" w14:textId="79A87E5A" w:rsidR="00DB0D12" w:rsidRPr="00DD77BC" w:rsidRDefault="000D4AF1" w:rsidP="00DB0D12">
            <w:pPr>
              <w:spacing w:line="240" w:lineRule="auto"/>
              <w:jc w:val="center"/>
              <w:rPr>
                <w:rFonts w:eastAsia="Times New Roman"/>
                <w:b/>
                <w:bCs/>
                <w:sz w:val="20"/>
                <w:szCs w:val="20"/>
                <w:lang w:eastAsia="lv-LV"/>
              </w:rPr>
            </w:pPr>
            <w:r w:rsidRPr="00DD77BC">
              <w:rPr>
                <w:rFonts w:eastAsia="Times New Roman"/>
                <w:b/>
                <w:bCs/>
                <w:sz w:val="20"/>
                <w:szCs w:val="20"/>
                <w:lang w:eastAsia="lv-LV"/>
              </w:rPr>
              <w:t>X</w:t>
            </w:r>
          </w:p>
        </w:tc>
        <w:tc>
          <w:tcPr>
            <w:tcW w:w="116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06480AC" w14:textId="77777777" w:rsidR="00DB0D12" w:rsidRPr="00DD77BC" w:rsidRDefault="00DB0D12" w:rsidP="00DB0D12">
            <w:pPr>
              <w:pStyle w:val="xmsonormal"/>
              <w:jc w:val="both"/>
              <w:rPr>
                <w:rFonts w:ascii="Times New Roman" w:eastAsia="Times New Roman" w:hAnsi="Times New Roman" w:cs="Times New Roman"/>
                <w:sz w:val="20"/>
                <w:szCs w:val="20"/>
              </w:rPr>
            </w:pPr>
            <w:r w:rsidRPr="00DD77BC">
              <w:rPr>
                <w:rFonts w:ascii="Times New Roman" w:eastAsia="Times New Roman" w:hAnsi="Times New Roman" w:cs="Times New Roman"/>
                <w:sz w:val="20"/>
                <w:szCs w:val="20"/>
              </w:rPr>
              <w:t>Pasākuma paredzamā ietekme ir nebūtiska:</w:t>
            </w:r>
          </w:p>
          <w:p w14:paraId="0E14D3CD" w14:textId="1342E156" w:rsidR="003F11FC" w:rsidRPr="00DD77BC" w:rsidRDefault="00DB0D12" w:rsidP="003F11FC">
            <w:pPr>
              <w:pStyle w:val="CommentText"/>
              <w:rPr>
                <w:lang w:val="lv-LV"/>
              </w:rPr>
            </w:pPr>
            <w:r w:rsidRPr="00DD77BC">
              <w:rPr>
                <w:rFonts w:eastAsia="Times New Roman" w:cs="Times New Roman"/>
                <w:lang w:val="lv-LV"/>
              </w:rPr>
              <w:t xml:space="preserve">Pašvaldības sociālo un īres dzīvojamo māju būvniecības/pārbūves, kā arī jau esošu pašvaldības sociālo un īres dzīvokļu atjaunošanas laikā neizbēgami ir </w:t>
            </w:r>
            <w:r w:rsidRPr="00DD77BC">
              <w:rPr>
                <w:rFonts w:cs="Times New Roman"/>
                <w:lang w:val="lv-LV"/>
              </w:rPr>
              <w:t>būvniecības darbi un dabas resursu ieguldījums, taču tas notiks koncentrējoties uz ilgtspējīgu būvmateriālu un materiālu izmantošanu</w:t>
            </w:r>
            <w:r w:rsidR="003F11FC" w:rsidRPr="00DD77BC">
              <w:rPr>
                <w:rFonts w:cs="Times New Roman"/>
                <w:lang w:val="lv-LV"/>
              </w:rPr>
              <w:t xml:space="preserve">, šī mērķa sasniegšanu sekmēs vispārpiemērojamais un vispārsaistošais Būvniecības likuma 4.panta pirmās daļas 5.punkta regulējums, saskaņā ar kuru būvniecībā ir jāpiemēro </w:t>
            </w:r>
            <w:r w:rsidR="003F11FC" w:rsidRPr="00DD77BC">
              <w:rPr>
                <w:rFonts w:cs="Times New Roman"/>
                <w:color w:val="414142"/>
                <w:shd w:val="clear" w:color="auto" w:fill="FFFFFF"/>
                <w:lang w:val="lv-LV"/>
              </w:rPr>
              <w:t>ilgtspējīgas būvniecības principu, saskaņā ar kuru būvniecības procesā tiek radīta kvalitatīva dzīves vide pašreizējām un nākamajām paaudzēm, šai nolūkā arī palielinot atjaunojamo energoresursu un sekmējot citu dabas resursu efektīvu izmantošanu;</w:t>
            </w:r>
          </w:p>
          <w:p w14:paraId="6AA9269D" w14:textId="561BCAAA" w:rsidR="00DB0D12" w:rsidRPr="00DD77BC" w:rsidRDefault="00DB0D12" w:rsidP="003F11FC">
            <w:pPr>
              <w:pStyle w:val="xmsonormal"/>
              <w:ind w:left="720"/>
              <w:jc w:val="both"/>
              <w:rPr>
                <w:rFonts w:ascii="Times New Roman" w:hAnsi="Times New Roman" w:cs="Times New Roman"/>
                <w:sz w:val="20"/>
                <w:szCs w:val="20"/>
              </w:rPr>
            </w:pPr>
          </w:p>
          <w:p w14:paraId="763B56F5" w14:textId="026EB10E" w:rsidR="00DB0D12" w:rsidRPr="00DD77BC" w:rsidRDefault="00DB0D12" w:rsidP="352E8C4C">
            <w:pPr>
              <w:pStyle w:val="xmsonormal"/>
              <w:numPr>
                <w:ilvl w:val="0"/>
                <w:numId w:val="11"/>
              </w:numPr>
              <w:jc w:val="both"/>
              <w:rPr>
                <w:rFonts w:asciiTheme="minorHAnsi" w:eastAsiaTheme="minorEastAsia" w:hAnsiTheme="minorHAnsi" w:cstheme="minorBidi"/>
                <w:sz w:val="20"/>
                <w:szCs w:val="20"/>
              </w:rPr>
            </w:pPr>
            <w:r w:rsidRPr="00DD77BC">
              <w:rPr>
                <w:rFonts w:ascii="Times New Roman" w:eastAsia="Times New Roman" w:hAnsi="Times New Roman" w:cs="Times New Roman"/>
                <w:sz w:val="20"/>
                <w:szCs w:val="20"/>
              </w:rPr>
              <w:t xml:space="preserve">plānots, ka </w:t>
            </w:r>
            <w:r w:rsidR="1D8EA059" w:rsidRPr="00DD77BC">
              <w:rPr>
                <w:rFonts w:ascii="Times New Roman" w:eastAsia="Times New Roman" w:hAnsi="Times New Roman" w:cs="Times New Roman"/>
                <w:sz w:val="20"/>
                <w:szCs w:val="20"/>
              </w:rPr>
              <w:t>programmas ietvaros radušies būvniecības atkritumi, kuri nav bīstami atbilstoši normatīvajiem aktiem par atkritumu klasifikatoru un īpašībām, kas padara atkritumus bīstamus, katru gadu tiek sagatavoti atkārtotai izmantošanai vai pārstrād</w:t>
            </w:r>
            <w:r w:rsidR="6C25B099" w:rsidRPr="00DD77BC">
              <w:rPr>
                <w:rFonts w:ascii="Times New Roman" w:eastAsia="Times New Roman" w:hAnsi="Times New Roman" w:cs="Times New Roman"/>
                <w:sz w:val="20"/>
                <w:szCs w:val="20"/>
              </w:rPr>
              <w:t>ei</w:t>
            </w:r>
            <w:r w:rsidR="1D8EA059" w:rsidRPr="00DD77BC">
              <w:rPr>
                <w:rFonts w:ascii="Times New Roman" w:eastAsia="Times New Roman" w:hAnsi="Times New Roman" w:cs="Times New Roman"/>
                <w:sz w:val="20"/>
                <w:szCs w:val="20"/>
              </w:rPr>
              <w:t xml:space="preserve">, vai arī </w:t>
            </w:r>
            <w:r w:rsidR="4B782332" w:rsidRPr="00DD77BC">
              <w:rPr>
                <w:rFonts w:ascii="Times New Roman" w:eastAsia="Times New Roman" w:hAnsi="Times New Roman" w:cs="Times New Roman"/>
                <w:sz w:val="20"/>
                <w:szCs w:val="20"/>
              </w:rPr>
              <w:t xml:space="preserve">tiek veikta </w:t>
            </w:r>
            <w:r w:rsidR="1D8EA059" w:rsidRPr="00DD77BC">
              <w:rPr>
                <w:rFonts w:ascii="Times New Roman" w:eastAsia="Times New Roman" w:hAnsi="Times New Roman" w:cs="Times New Roman"/>
                <w:sz w:val="20"/>
                <w:szCs w:val="20"/>
              </w:rPr>
              <w:t>minētajos atkritumos esošo materiālu reģenerācij</w:t>
            </w:r>
            <w:r w:rsidR="27E02BEF" w:rsidRPr="00DD77BC">
              <w:rPr>
                <w:rFonts w:ascii="Times New Roman" w:eastAsia="Times New Roman" w:hAnsi="Times New Roman" w:cs="Times New Roman"/>
                <w:sz w:val="20"/>
                <w:szCs w:val="20"/>
              </w:rPr>
              <w:t>a</w:t>
            </w:r>
            <w:r w:rsidR="1D8EA059" w:rsidRPr="00DD77BC">
              <w:rPr>
                <w:rFonts w:ascii="Times New Roman" w:eastAsia="Times New Roman" w:hAnsi="Times New Roman" w:cs="Times New Roman"/>
                <w:sz w:val="20"/>
                <w:szCs w:val="20"/>
              </w:rPr>
              <w:t xml:space="preserve"> (tai skaitā izmanto izrakto tilpju aizpildīšanai) ne mazāk kā 70 % apmērā (pēc svara) no kopējā kalendāra gadā radītā būvniecības un būvju nojaukšanas atkritumu daudzuma</w:t>
            </w:r>
            <w:r w:rsidRPr="00DD77BC">
              <w:rPr>
                <w:rFonts w:ascii="Times New Roman" w:eastAsia="Times New Roman" w:hAnsi="Times New Roman" w:cs="Times New Roman"/>
                <w:sz w:val="20"/>
                <w:szCs w:val="20"/>
              </w:rPr>
              <w:t xml:space="preserve">, </w:t>
            </w:r>
            <w:r w:rsidR="00E11CDA" w:rsidRPr="00DD77BC">
              <w:rPr>
                <w:rFonts w:ascii="Times New Roman" w:eastAsia="Times New Roman" w:hAnsi="Times New Roman" w:cs="Times New Roman"/>
                <w:sz w:val="20"/>
                <w:szCs w:val="20"/>
              </w:rPr>
              <w:t xml:space="preserve"> ievēro</w:t>
            </w:r>
            <w:r w:rsidR="2619EA90" w:rsidRPr="00DD77BC">
              <w:rPr>
                <w:rFonts w:ascii="Times New Roman" w:eastAsia="Times New Roman" w:hAnsi="Times New Roman" w:cs="Times New Roman"/>
                <w:sz w:val="20"/>
                <w:szCs w:val="20"/>
              </w:rPr>
              <w:t>jot</w:t>
            </w:r>
            <w:r w:rsidR="00644C2A" w:rsidRPr="00DD77BC">
              <w:rPr>
                <w:rFonts w:ascii="Times New Roman" w:eastAsia="Times New Roman" w:hAnsi="Times New Roman" w:cs="Times New Roman"/>
                <w:sz w:val="20"/>
                <w:szCs w:val="20"/>
              </w:rPr>
              <w:t xml:space="preserve"> </w:t>
            </w:r>
            <w:r w:rsidR="00644C2A" w:rsidRPr="00DD77BC">
              <w:rPr>
                <w:rFonts w:ascii="Times New Roman" w:hAnsi="Times New Roman" w:cs="Times New Roman"/>
                <w:sz w:val="20"/>
                <w:szCs w:val="20"/>
              </w:rPr>
              <w:t>Ministru kabineta 2021.gada 26.oktobra noteikum</w:t>
            </w:r>
            <w:r w:rsidR="73F90E73" w:rsidRPr="00DD77BC">
              <w:rPr>
                <w:rFonts w:ascii="Times New Roman" w:hAnsi="Times New Roman" w:cs="Times New Roman"/>
                <w:sz w:val="20"/>
                <w:szCs w:val="20"/>
              </w:rPr>
              <w:t xml:space="preserve">us </w:t>
            </w:r>
            <w:r w:rsidR="00644C2A" w:rsidRPr="00DD77BC">
              <w:rPr>
                <w:rFonts w:ascii="Times New Roman" w:hAnsi="Times New Roman" w:cs="Times New Roman"/>
                <w:sz w:val="20"/>
                <w:szCs w:val="20"/>
              </w:rPr>
              <w:t>Nr.712 “Atkritumu dalītas savākšanas, sagatavošanas atkārtotai izmantošanai, pārstrādes un materiālu reģenerācijas noteikumi”</w:t>
            </w:r>
            <w:r w:rsidR="00E503FD" w:rsidRPr="00DD77BC">
              <w:rPr>
                <w:rFonts w:ascii="Times New Roman" w:eastAsia="Times New Roman" w:hAnsi="Times New Roman" w:cs="Times New Roman"/>
                <w:sz w:val="20"/>
                <w:szCs w:val="20"/>
              </w:rPr>
              <w:t>. Šīs prasības izpilde tiks nodrošināta, jo Ministru kabineta 2021.gada 26.oktobra noteikumu Nr.712 “Atkritumu dalītas savākšanas, sagatavošanas</w:t>
            </w:r>
            <w:r w:rsidR="00872E0C" w:rsidRPr="00DD77BC">
              <w:rPr>
                <w:rFonts w:ascii="Times New Roman" w:eastAsia="Times New Roman" w:hAnsi="Times New Roman" w:cs="Times New Roman"/>
                <w:sz w:val="20"/>
                <w:szCs w:val="20"/>
              </w:rPr>
              <w:t xml:space="preserve"> atkārtotai izmantošanai, pārstrādes un materiālu reģenerācijas noteikumi</w:t>
            </w:r>
            <w:r w:rsidR="00E503FD" w:rsidRPr="00DD77BC">
              <w:rPr>
                <w:rFonts w:ascii="Times New Roman" w:eastAsia="Times New Roman" w:hAnsi="Times New Roman" w:cs="Times New Roman"/>
                <w:sz w:val="20"/>
                <w:szCs w:val="20"/>
              </w:rPr>
              <w:t>”</w:t>
            </w:r>
            <w:r w:rsidR="00872E0C" w:rsidRPr="00DD77BC">
              <w:rPr>
                <w:rFonts w:ascii="Times New Roman" w:eastAsia="Times New Roman" w:hAnsi="Times New Roman" w:cs="Times New Roman"/>
                <w:sz w:val="20"/>
                <w:szCs w:val="20"/>
              </w:rPr>
              <w:t xml:space="preserve"> </w:t>
            </w:r>
            <w:r w:rsidR="00505535" w:rsidRPr="00DD77BC">
              <w:rPr>
                <w:rFonts w:ascii="Times New Roman" w:eastAsia="Times New Roman" w:hAnsi="Times New Roman" w:cs="Times New Roman"/>
                <w:sz w:val="20"/>
                <w:szCs w:val="20"/>
              </w:rPr>
              <w:t>noteikumu piemērošana ir obligāta visiem atkritumu a</w:t>
            </w:r>
            <w:r w:rsidR="00A14CBB" w:rsidRPr="00DD77BC">
              <w:rPr>
                <w:rFonts w:ascii="Times New Roman" w:eastAsia="Times New Roman" w:hAnsi="Times New Roman" w:cs="Times New Roman"/>
                <w:sz w:val="20"/>
                <w:szCs w:val="20"/>
              </w:rPr>
              <w:t xml:space="preserve">psaimniekošanā </w:t>
            </w:r>
            <w:r w:rsidR="00EE7B73" w:rsidRPr="00DD77BC">
              <w:rPr>
                <w:rFonts w:ascii="Times New Roman" w:eastAsia="Times New Roman" w:hAnsi="Times New Roman" w:cs="Times New Roman"/>
                <w:sz w:val="20"/>
                <w:szCs w:val="20"/>
              </w:rPr>
              <w:t>iesaistītajiem. To kontrole tiek veikta būvniecības un vides aizsardzības normatīvo aktu noteiktajā apjomā un kārtībā.</w:t>
            </w:r>
          </w:p>
          <w:p w14:paraId="1D369E3D" w14:textId="73D86B96" w:rsidR="00DB0D12" w:rsidRPr="00DD77BC" w:rsidRDefault="00DB0D12" w:rsidP="00A77916">
            <w:pPr>
              <w:pStyle w:val="xmsonormal"/>
              <w:numPr>
                <w:ilvl w:val="0"/>
                <w:numId w:val="11"/>
              </w:numPr>
              <w:jc w:val="both"/>
              <w:rPr>
                <w:rFonts w:ascii="Times New Roman" w:hAnsi="Times New Roman" w:cs="Times New Roman"/>
                <w:sz w:val="20"/>
                <w:szCs w:val="20"/>
              </w:rPr>
            </w:pPr>
            <w:r w:rsidRPr="00DD77BC">
              <w:rPr>
                <w:rFonts w:ascii="Times New Roman" w:hAnsi="Times New Roman" w:cs="Times New Roman"/>
                <w:sz w:val="20"/>
                <w:szCs w:val="20"/>
              </w:rPr>
              <w:t>valsts līmenī ir palielināta (un turpinās augt) dabas resursu nodokļa likme arī par sadzīves, būvniecības un rūpniecisko atkritumu apglabāšanu, kas dod papildu stimulu aprites ekonomikas prasību ieviešanai</w:t>
            </w:r>
            <w:r w:rsidR="007E1C7E" w:rsidRPr="00DD77BC">
              <w:rPr>
                <w:rFonts w:ascii="Times New Roman" w:hAnsi="Times New Roman" w:cs="Times New Roman"/>
                <w:sz w:val="20"/>
                <w:szCs w:val="20"/>
              </w:rPr>
              <w:t>;</w:t>
            </w:r>
          </w:p>
          <w:p w14:paraId="63A09EB3" w14:textId="766FA0BB" w:rsidR="007E1C7E" w:rsidRPr="00DD77BC" w:rsidRDefault="00DB0D12" w:rsidP="00CE2811">
            <w:pPr>
              <w:pStyle w:val="xmsonormal"/>
              <w:numPr>
                <w:ilvl w:val="0"/>
                <w:numId w:val="11"/>
              </w:numPr>
              <w:jc w:val="both"/>
              <w:rPr>
                <w:rFonts w:ascii="Times New Roman" w:hAnsi="Times New Roman" w:cs="Times New Roman"/>
                <w:sz w:val="20"/>
                <w:szCs w:val="20"/>
              </w:rPr>
            </w:pPr>
            <w:r w:rsidRPr="00DD77BC">
              <w:rPr>
                <w:rFonts w:ascii="Times New Roman" w:eastAsia="Times New Roman" w:hAnsi="Times New Roman" w:cs="Times New Roman"/>
                <w:sz w:val="20"/>
                <w:szCs w:val="20"/>
              </w:rPr>
              <w:t xml:space="preserve">ņemot vērā, </w:t>
            </w:r>
            <w:r w:rsidR="002E0D8D" w:rsidRPr="00DD77BC">
              <w:rPr>
                <w:rFonts w:ascii="Times New Roman" w:eastAsia="Times New Roman" w:hAnsi="Times New Roman" w:cs="Times New Roman"/>
                <w:sz w:val="20"/>
                <w:szCs w:val="20"/>
              </w:rPr>
              <w:t xml:space="preserve">ka </w:t>
            </w:r>
            <w:r w:rsidRPr="00DD77BC">
              <w:rPr>
                <w:rFonts w:ascii="Times New Roman" w:eastAsia="Times New Roman" w:hAnsi="Times New Roman" w:cs="Times New Roman"/>
                <w:sz w:val="20"/>
                <w:szCs w:val="20"/>
              </w:rPr>
              <w:t xml:space="preserve">atbalsta pasākuma ietvaros </w:t>
            </w:r>
            <w:r w:rsidR="002E6A87" w:rsidRPr="00DD77BC">
              <w:rPr>
                <w:rFonts w:ascii="Times New Roman" w:eastAsia="Times New Roman" w:hAnsi="Times New Roman" w:cs="Times New Roman"/>
                <w:sz w:val="20"/>
                <w:szCs w:val="20"/>
              </w:rPr>
              <w:t xml:space="preserve">jaunās </w:t>
            </w:r>
            <w:r w:rsidRPr="00DD77BC">
              <w:rPr>
                <w:rFonts w:ascii="Times New Roman" w:eastAsia="Times New Roman" w:hAnsi="Times New Roman" w:cs="Times New Roman"/>
                <w:sz w:val="20"/>
                <w:szCs w:val="20"/>
              </w:rPr>
              <w:t xml:space="preserve">pašvaldības sociālās un īres dzīvojamās mājas tiks būvētas kā gandrīz nulles enerģijas ēkas, </w:t>
            </w:r>
            <w:r w:rsidR="002E6A87" w:rsidRPr="00DD77BC">
              <w:rPr>
                <w:rFonts w:ascii="Times New Roman" w:eastAsia="Times New Roman" w:hAnsi="Times New Roman" w:cs="Times New Roman"/>
                <w:sz w:val="20"/>
                <w:szCs w:val="20"/>
              </w:rPr>
              <w:t xml:space="preserve">savukārt pārbūvējamās ēkas tiks būvētas, ievērojot </w:t>
            </w:r>
            <w:r w:rsidR="00E9666B" w:rsidRPr="00DD77BC">
              <w:rPr>
                <w:rFonts w:ascii="Times New Roman" w:eastAsia="Calibri" w:hAnsi="Times New Roman" w:cs="Times New Roman"/>
                <w:sz w:val="20"/>
                <w:szCs w:val="20"/>
              </w:rPr>
              <w:t>LBN 002-19 "Ēku norobežojošo konstrukciju siltumtehnika</w:t>
            </w:r>
            <w:r w:rsidR="00946B90" w:rsidRPr="00DD77BC">
              <w:rPr>
                <w:rFonts w:ascii="Times New Roman" w:eastAsia="Calibri" w:hAnsi="Times New Roman" w:cs="Times New Roman"/>
                <w:sz w:val="20"/>
                <w:szCs w:val="20"/>
              </w:rPr>
              <w:t>”</w:t>
            </w:r>
            <w:r w:rsidR="00E9666B" w:rsidRPr="00DD77BC">
              <w:rPr>
                <w:rFonts w:ascii="Times New Roman" w:eastAsia="Times New Roman" w:hAnsi="Times New Roman" w:cs="Times New Roman"/>
                <w:sz w:val="20"/>
                <w:szCs w:val="20"/>
              </w:rPr>
              <w:t>,</w:t>
            </w:r>
            <w:r w:rsidR="009241BF" w:rsidRPr="00DD77BC">
              <w:rPr>
                <w:rFonts w:ascii="Times New Roman" w:eastAsia="Times New Roman" w:hAnsi="Times New Roman" w:cs="Times New Roman"/>
                <w:sz w:val="20"/>
                <w:szCs w:val="20"/>
              </w:rPr>
              <w:t xml:space="preserve"> </w:t>
            </w:r>
            <w:r w:rsidRPr="00DD77BC">
              <w:rPr>
                <w:rFonts w:ascii="Times New Roman" w:eastAsia="Times New Roman" w:hAnsi="Times New Roman" w:cs="Times New Roman"/>
                <w:sz w:val="20"/>
                <w:szCs w:val="20"/>
              </w:rPr>
              <w:t>paredzams mazāks tādu primāro resursu patēriņš, kā elektrības</w:t>
            </w:r>
            <w:r w:rsidR="009241BF" w:rsidRPr="00DD77BC">
              <w:rPr>
                <w:rFonts w:ascii="Times New Roman" w:eastAsia="Times New Roman" w:hAnsi="Times New Roman" w:cs="Times New Roman"/>
                <w:sz w:val="20"/>
                <w:szCs w:val="20"/>
              </w:rPr>
              <w:t>.</w:t>
            </w:r>
            <w:r w:rsidR="00EE7B73" w:rsidRPr="00DD77BC">
              <w:rPr>
                <w:rFonts w:eastAsia="Calibri"/>
                <w:sz w:val="20"/>
                <w:szCs w:val="20"/>
              </w:rPr>
              <w:t xml:space="preserve"> </w:t>
            </w:r>
            <w:r w:rsidR="00EE7B73" w:rsidRPr="00DD77BC">
              <w:rPr>
                <w:rFonts w:ascii="Times New Roman" w:eastAsia="Calibri" w:hAnsi="Times New Roman" w:cs="Times New Roman"/>
                <w:sz w:val="20"/>
                <w:szCs w:val="20"/>
              </w:rPr>
              <w:t>Minētās prasību izpilde tiks nodrošināta tādā veidā, ka dzīvojamās mājas būvniecības gadījumā pieminēt</w:t>
            </w:r>
            <w:r w:rsidR="00FE2AF9" w:rsidRPr="00DD77BC">
              <w:rPr>
                <w:rFonts w:ascii="Times New Roman" w:eastAsia="Calibri" w:hAnsi="Times New Roman" w:cs="Times New Roman"/>
                <w:sz w:val="20"/>
                <w:szCs w:val="20"/>
              </w:rPr>
              <w:t>ā</w:t>
            </w:r>
            <w:r w:rsidR="00EE7B73" w:rsidRPr="00DD77BC">
              <w:rPr>
                <w:rFonts w:ascii="Times New Roman" w:eastAsia="Calibri" w:hAnsi="Times New Roman" w:cs="Times New Roman"/>
                <w:sz w:val="20"/>
                <w:szCs w:val="20"/>
              </w:rPr>
              <w:t xml:space="preserve"> būvnormatīv</w:t>
            </w:r>
            <w:r w:rsidR="00FE2AF9" w:rsidRPr="00DD77BC">
              <w:rPr>
                <w:rFonts w:ascii="Times New Roman" w:eastAsia="Calibri" w:hAnsi="Times New Roman" w:cs="Times New Roman"/>
                <w:sz w:val="20"/>
                <w:szCs w:val="20"/>
              </w:rPr>
              <w:t>a</w:t>
            </w:r>
            <w:r w:rsidR="00EE7B73" w:rsidRPr="00DD77BC">
              <w:rPr>
                <w:rFonts w:ascii="Times New Roman" w:eastAsia="Calibri" w:hAnsi="Times New Roman" w:cs="Times New Roman"/>
                <w:sz w:val="20"/>
                <w:szCs w:val="20"/>
              </w:rPr>
              <w:t xml:space="preserve">  piemērošanas obligātums izriet jau no Būvniecības likuma, kurš paģēr to piemērošanu. To izpildes kontrole tiek nodrošināta būvniecības procesu reglamentējošo normatīvo aktu noteiktajā apjomā un kārtībā.</w:t>
            </w:r>
          </w:p>
        </w:tc>
      </w:tr>
      <w:tr w:rsidR="00DB0D12" w:rsidRPr="00DD77BC" w14:paraId="3BFCC310" w14:textId="77777777" w:rsidTr="3013ECA5">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0BEFFFAD" w14:textId="77777777" w:rsidR="00DB0D12" w:rsidRPr="00DD77BC" w:rsidRDefault="00DB0D12" w:rsidP="00DB0D12">
            <w:pPr>
              <w:spacing w:line="240" w:lineRule="auto"/>
              <w:jc w:val="both"/>
              <w:rPr>
                <w:rFonts w:eastAsia="Times New Roman"/>
                <w:b/>
                <w:bCs/>
                <w:sz w:val="20"/>
                <w:szCs w:val="20"/>
                <w:lang w:eastAsia="lv-LV"/>
              </w:rPr>
            </w:pPr>
            <w:r w:rsidRPr="00DD77BC">
              <w:rPr>
                <w:rFonts w:eastAsia="Times New Roman"/>
                <w:b/>
                <w:bCs/>
                <w:sz w:val="20"/>
                <w:szCs w:val="20"/>
                <w:lang w:eastAsia="lv-LV"/>
              </w:rPr>
              <w:t xml:space="preserve">Piesārņojuma novēršana un kontrole. </w:t>
            </w:r>
          </w:p>
          <w:p w14:paraId="113054A3" w14:textId="77777777" w:rsidR="00DB0D12" w:rsidRPr="00DD77BC" w:rsidRDefault="00DB0D12" w:rsidP="00DB0D12">
            <w:pPr>
              <w:spacing w:line="240" w:lineRule="auto"/>
              <w:jc w:val="both"/>
              <w:rPr>
                <w:sz w:val="20"/>
                <w:szCs w:val="20"/>
              </w:rPr>
            </w:pPr>
            <w:r w:rsidRPr="00DD77BC">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62B9AF4" w14:textId="50043D5A" w:rsidR="00DB0D12" w:rsidRPr="00DD77BC" w:rsidRDefault="000D4AF1" w:rsidP="00DB0D12">
            <w:pPr>
              <w:spacing w:line="240" w:lineRule="auto"/>
              <w:jc w:val="center"/>
              <w:rPr>
                <w:rFonts w:eastAsia="Times New Roman"/>
                <w:b/>
                <w:bCs/>
                <w:sz w:val="20"/>
                <w:szCs w:val="20"/>
                <w:lang w:eastAsia="lv-LV"/>
              </w:rPr>
            </w:pPr>
            <w:r w:rsidRPr="00DD77BC">
              <w:rPr>
                <w:rFonts w:eastAsia="Times New Roman"/>
                <w:b/>
                <w:bCs/>
                <w:sz w:val="20"/>
                <w:szCs w:val="20"/>
                <w:lang w:eastAsia="lv-LV"/>
              </w:rPr>
              <w:t>X</w:t>
            </w:r>
          </w:p>
        </w:tc>
        <w:tc>
          <w:tcPr>
            <w:tcW w:w="116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EF40289" w14:textId="77777777" w:rsidR="00DB0D12" w:rsidRPr="00DD77BC" w:rsidRDefault="00DB0D12" w:rsidP="00DB0D12">
            <w:pPr>
              <w:spacing w:line="240" w:lineRule="auto"/>
              <w:ind w:left="33"/>
              <w:jc w:val="both"/>
              <w:rPr>
                <w:rFonts w:eastAsia="Times New Roman"/>
                <w:sz w:val="20"/>
                <w:szCs w:val="20"/>
                <w:lang w:eastAsia="lv-LV"/>
              </w:rPr>
            </w:pPr>
            <w:r w:rsidRPr="00DD77BC">
              <w:rPr>
                <w:rFonts w:eastAsia="Times New Roman"/>
                <w:sz w:val="20"/>
                <w:szCs w:val="20"/>
                <w:lang w:eastAsia="lv-LV"/>
              </w:rPr>
              <w:t xml:space="preserve">Pasākuma paredzamā ietekme ir nebūtiska saistībā ar pasākuma tiešajām un primārajām netiešajam sekām visā tā dzīves ciklā, ņemot vērā tā būtību, un tādējādi tas tiek uzskatīts par atbilstīgu NBK attiecībā uz attiecīgo mērķi: </w:t>
            </w:r>
          </w:p>
          <w:p w14:paraId="62120C9F" w14:textId="6B8B1118" w:rsidR="00DB0D12" w:rsidRPr="00DD77BC" w:rsidRDefault="00DB0D12" w:rsidP="00894527">
            <w:pPr>
              <w:pStyle w:val="ListParagraph"/>
              <w:numPr>
                <w:ilvl w:val="0"/>
                <w:numId w:val="12"/>
              </w:numPr>
              <w:spacing w:line="240" w:lineRule="auto"/>
              <w:jc w:val="both"/>
              <w:rPr>
                <w:rFonts w:ascii="Times New Roman" w:eastAsia="Times New Roman" w:hAnsi="Times New Roman" w:cs="Times New Roman"/>
                <w:sz w:val="20"/>
                <w:szCs w:val="20"/>
                <w:lang w:val="lv-LV" w:eastAsia="lv-LV"/>
              </w:rPr>
            </w:pPr>
            <w:r w:rsidRPr="00DD77BC">
              <w:rPr>
                <w:rFonts w:ascii="Times New Roman" w:eastAsia="Times New Roman" w:hAnsi="Times New Roman" w:cs="Times New Roman"/>
                <w:sz w:val="20"/>
                <w:szCs w:val="20"/>
                <w:lang w:val="lv-LV" w:eastAsia="lv-LV"/>
              </w:rPr>
              <w:t xml:space="preserve">atbalsta pasākums atbalstīs tikai gandrīz nulles enerģijas (NZEB) </w:t>
            </w:r>
            <w:r w:rsidR="004B1F27" w:rsidRPr="00DD77BC">
              <w:rPr>
                <w:rFonts w:ascii="Times New Roman" w:eastAsia="Times New Roman" w:hAnsi="Times New Roman" w:cs="Times New Roman"/>
                <w:sz w:val="20"/>
                <w:szCs w:val="20"/>
                <w:lang w:val="lv-LV" w:eastAsia="lv-LV"/>
              </w:rPr>
              <w:t xml:space="preserve">jaunu </w:t>
            </w:r>
            <w:r w:rsidR="00894527" w:rsidRPr="00DD77BC">
              <w:rPr>
                <w:rFonts w:ascii="Times New Roman" w:eastAsia="Times New Roman" w:hAnsi="Times New Roman" w:cs="Times New Roman"/>
                <w:sz w:val="20"/>
                <w:szCs w:val="20"/>
                <w:lang w:val="lv-LV" w:eastAsia="lv-LV"/>
              </w:rPr>
              <w:t>dzīvojamo māju</w:t>
            </w:r>
            <w:r w:rsidRPr="00DD77BC">
              <w:rPr>
                <w:rFonts w:ascii="Times New Roman" w:eastAsia="Times New Roman" w:hAnsi="Times New Roman" w:cs="Times New Roman"/>
                <w:sz w:val="20"/>
                <w:szCs w:val="20"/>
                <w:lang w:val="lv-LV" w:eastAsia="lv-LV"/>
              </w:rPr>
              <w:t xml:space="preserve"> būvniecību</w:t>
            </w:r>
            <w:r w:rsidR="00424A02" w:rsidRPr="00DD77BC">
              <w:rPr>
                <w:rFonts w:ascii="Times New Roman" w:eastAsia="Times New Roman" w:hAnsi="Times New Roman" w:cs="Times New Roman"/>
                <w:sz w:val="20"/>
                <w:szCs w:val="20"/>
                <w:lang w:val="lv-LV" w:eastAsia="lv-LV"/>
              </w:rPr>
              <w:t>, kas tiks nostiprināts arī Ministru kabineta noteikumos par specifiskā atbalsta mērķa īstenošanu.</w:t>
            </w:r>
          </w:p>
          <w:p w14:paraId="71FCA164" w14:textId="29B76BDD" w:rsidR="00894527" w:rsidRPr="00DD77BC" w:rsidRDefault="00894527" w:rsidP="00EB5D99">
            <w:pPr>
              <w:pStyle w:val="ListParagraph"/>
              <w:numPr>
                <w:ilvl w:val="0"/>
                <w:numId w:val="12"/>
              </w:numPr>
              <w:spacing w:line="240" w:lineRule="auto"/>
              <w:jc w:val="both"/>
              <w:rPr>
                <w:rFonts w:ascii="Times New Roman" w:eastAsia="Times New Roman" w:hAnsi="Times New Roman" w:cs="Times New Roman"/>
                <w:sz w:val="20"/>
                <w:szCs w:val="20"/>
                <w:lang w:val="lv-LV" w:eastAsia="lv-LV"/>
              </w:rPr>
            </w:pPr>
            <w:r w:rsidRPr="00DD77BC">
              <w:rPr>
                <w:rFonts w:ascii="Times New Roman" w:eastAsia="Times New Roman" w:hAnsi="Times New Roman" w:cs="Times New Roman"/>
                <w:sz w:val="20"/>
                <w:szCs w:val="20"/>
                <w:lang w:val="lv-LV" w:eastAsia="lv-LV"/>
              </w:rPr>
              <w:t>pārbūvējot esošās pašvaldību īres un sociālās dzīvojamās mājas</w:t>
            </w:r>
            <w:r w:rsidR="000C5A07" w:rsidRPr="00DD77BC">
              <w:rPr>
                <w:rFonts w:ascii="Times New Roman" w:eastAsia="Times New Roman" w:hAnsi="Times New Roman" w:cs="Times New Roman"/>
                <w:sz w:val="20"/>
                <w:szCs w:val="20"/>
                <w:lang w:val="lv-LV" w:eastAsia="lv-LV"/>
              </w:rPr>
              <w:t>,</w:t>
            </w:r>
            <w:r w:rsidR="00DD35DE" w:rsidRPr="00DD77BC">
              <w:rPr>
                <w:rFonts w:ascii="Times New Roman" w:eastAsia="Times New Roman" w:hAnsi="Times New Roman" w:cs="Times New Roman"/>
                <w:sz w:val="20"/>
                <w:szCs w:val="20"/>
                <w:lang w:val="lv-LV" w:eastAsia="lv-LV"/>
              </w:rPr>
              <w:t xml:space="preserve"> tai skaitā atjaunojot atsevišķus dzīvokļus,</w:t>
            </w:r>
            <w:r w:rsidRPr="00DD77BC">
              <w:rPr>
                <w:rFonts w:ascii="Times New Roman" w:eastAsia="Times New Roman" w:hAnsi="Times New Roman" w:cs="Times New Roman"/>
                <w:sz w:val="20"/>
                <w:szCs w:val="20"/>
                <w:lang w:val="lv-LV" w:eastAsia="lv-LV"/>
              </w:rPr>
              <w:t xml:space="preserve"> ku</w:t>
            </w:r>
            <w:r w:rsidR="00DD35DE" w:rsidRPr="00DD77BC">
              <w:rPr>
                <w:rFonts w:ascii="Times New Roman" w:eastAsia="Times New Roman" w:hAnsi="Times New Roman" w:cs="Times New Roman"/>
                <w:sz w:val="20"/>
                <w:szCs w:val="20"/>
                <w:lang w:val="lv-LV" w:eastAsia="lv-LV"/>
              </w:rPr>
              <w:t>ro</w:t>
            </w:r>
            <w:r w:rsidRPr="00DD77BC">
              <w:rPr>
                <w:rFonts w:ascii="Times New Roman" w:eastAsia="Times New Roman" w:hAnsi="Times New Roman" w:cs="Times New Roman"/>
                <w:sz w:val="20"/>
                <w:szCs w:val="20"/>
                <w:lang w:val="lv-LV" w:eastAsia="lv-LV"/>
              </w:rPr>
              <w:t>s</w:t>
            </w:r>
            <w:r w:rsidR="00DD35DE" w:rsidRPr="00DD77BC">
              <w:rPr>
                <w:rFonts w:ascii="Times New Roman" w:eastAsia="Times New Roman" w:hAnsi="Times New Roman" w:cs="Times New Roman"/>
                <w:sz w:val="20"/>
                <w:szCs w:val="20"/>
                <w:lang w:val="lv-LV" w:eastAsia="lv-LV"/>
              </w:rPr>
              <w:t xml:space="preserve"> kā celtniecības materiāli</w:t>
            </w:r>
            <w:r w:rsidRPr="00DD77BC">
              <w:rPr>
                <w:rFonts w:ascii="Times New Roman" w:eastAsia="Times New Roman" w:hAnsi="Times New Roman" w:cs="Times New Roman"/>
                <w:sz w:val="20"/>
                <w:szCs w:val="20"/>
                <w:lang w:val="lv-LV" w:eastAsia="lv-LV"/>
              </w:rPr>
              <w:t xml:space="preserve"> ir</w:t>
            </w:r>
            <w:r w:rsidR="00DD35DE" w:rsidRPr="00DD77BC">
              <w:rPr>
                <w:rFonts w:ascii="Times New Roman" w:eastAsia="Times New Roman" w:hAnsi="Times New Roman" w:cs="Times New Roman"/>
                <w:sz w:val="20"/>
                <w:szCs w:val="20"/>
                <w:lang w:val="lv-LV" w:eastAsia="lv-LV"/>
              </w:rPr>
              <w:t xml:space="preserve"> izmantoti</w:t>
            </w:r>
            <w:r w:rsidRPr="00DD77BC">
              <w:rPr>
                <w:rFonts w:ascii="Times New Roman" w:eastAsia="Times New Roman" w:hAnsi="Times New Roman" w:cs="Times New Roman"/>
                <w:sz w:val="20"/>
                <w:szCs w:val="20"/>
                <w:lang w:val="lv-LV" w:eastAsia="lv-LV"/>
              </w:rPr>
              <w:t xml:space="preserve"> azbestu saturoši materiāli, azbestu saturošus izstrādājumus apstrādās un transportēs atbilstoši normatīvajiem aktiem par darba aizsardzības prasībām darbā ar azbestu, tai skaitā nepieļaujot azbesta šķiedru vai putekļu nokļūšanu vidē;</w:t>
            </w:r>
            <w:r w:rsidR="00CE2811" w:rsidRPr="00DD77BC">
              <w:rPr>
                <w:rFonts w:ascii="Times New Roman" w:eastAsia="Times New Roman" w:hAnsi="Times New Roman" w:cs="Times New Roman"/>
                <w:sz w:val="20"/>
                <w:szCs w:val="20"/>
                <w:lang w:val="lv-LV" w:eastAsia="lv-LV"/>
              </w:rPr>
              <w:t xml:space="preserve"> </w:t>
            </w:r>
            <w:r w:rsidRPr="00DD77BC">
              <w:rPr>
                <w:rFonts w:ascii="Times New Roman" w:eastAsia="Times New Roman" w:hAnsi="Times New Roman" w:cs="Times New Roman"/>
                <w:sz w:val="20"/>
                <w:szCs w:val="20"/>
                <w:lang w:val="lv-LV" w:eastAsia="lv-LV"/>
              </w:rPr>
              <w:t xml:space="preserve">azbesta atkritumu tālākā apsaimniekošana paredzēta atbilstoši </w:t>
            </w:r>
            <w:r w:rsidR="00383827" w:rsidRPr="00DD77BC">
              <w:rPr>
                <w:rFonts w:ascii="Times New Roman" w:eastAsia="Times New Roman" w:hAnsi="Times New Roman" w:cs="Times New Roman"/>
                <w:bCs/>
                <w:sz w:val="20"/>
                <w:szCs w:val="20"/>
                <w:lang w:val="lv-LV" w:eastAsia="lv-LV"/>
              </w:rPr>
              <w:t xml:space="preserve">Ministru kabineta </w:t>
            </w:r>
            <w:r w:rsidRPr="00DD77BC">
              <w:rPr>
                <w:rFonts w:ascii="Times New Roman" w:eastAsia="Times New Roman" w:hAnsi="Times New Roman" w:cs="Times New Roman"/>
                <w:sz w:val="20"/>
                <w:szCs w:val="20"/>
                <w:lang w:val="lv-LV" w:eastAsia="lv-LV"/>
              </w:rPr>
              <w:t xml:space="preserve">2011.gada 19.aprīļa </w:t>
            </w:r>
            <w:r w:rsidRPr="00DD77BC">
              <w:rPr>
                <w:rFonts w:ascii="Times New Roman" w:eastAsia="Times New Roman" w:hAnsi="Times New Roman" w:cs="Times New Roman"/>
                <w:bCs/>
                <w:sz w:val="20"/>
                <w:szCs w:val="20"/>
                <w:lang w:val="lv-LV" w:eastAsia="lv-LV"/>
              </w:rPr>
              <w:t>noteikumiem Nr.301 “Noteikumi par azbesta un azbesta izstrādājumu ražošanas radīto vides piesārņojumu un azbesta atkritumu apsaimniekošanu”</w:t>
            </w:r>
            <w:r w:rsidR="00F213E1" w:rsidRPr="00DD77BC">
              <w:rPr>
                <w:rFonts w:ascii="Times New Roman" w:eastAsia="Times New Roman" w:hAnsi="Times New Roman" w:cs="Times New Roman"/>
                <w:bCs/>
                <w:sz w:val="20"/>
                <w:szCs w:val="20"/>
                <w:lang w:val="lv-LV" w:eastAsia="lv-LV"/>
              </w:rPr>
              <w:t>.</w:t>
            </w:r>
          </w:p>
          <w:p w14:paraId="00388A6C" w14:textId="348089D2" w:rsidR="00DB0D12" w:rsidRPr="00DD77BC" w:rsidRDefault="00DB0D12" w:rsidP="00DB0D12">
            <w:pPr>
              <w:suppressAutoHyphens/>
              <w:autoSpaceDN w:val="0"/>
              <w:spacing w:line="240" w:lineRule="auto"/>
              <w:jc w:val="both"/>
              <w:textAlignment w:val="baseline"/>
              <w:rPr>
                <w:rFonts w:eastAsia="Times New Roman"/>
                <w:sz w:val="20"/>
                <w:szCs w:val="20"/>
                <w:lang w:eastAsia="lv-LV"/>
              </w:rPr>
            </w:pPr>
            <w:r w:rsidRPr="00DD77BC">
              <w:rPr>
                <w:sz w:val="20"/>
                <w:szCs w:val="20"/>
              </w:rPr>
              <w:br/>
            </w:r>
            <w:r w:rsidRPr="00DD77BC">
              <w:rPr>
                <w:rFonts w:eastAsia="Times New Roman"/>
                <w:sz w:val="20"/>
                <w:szCs w:val="20"/>
                <w:lang w:eastAsia="lv-LV"/>
              </w:rPr>
              <w:t>Latvijas Republikas normatīvie aktu prasības aizliedz lietot azbestu un produktus, kas satur azbesta šķiedras, atbilstoši Eiropas Parlamenta un Padomes 2006.gada 18.decembra Regulas Nr.1907/2006 kas attiecas uz ķimikāliju reģistrēšanu, vērtēšanu, licencēšanu un ierobežošanu (REACH), un ar kuru izveido Eiropas Ķimikāliju aģentūru, groza Direktīvu 1999/45/EK un atceļ Padomes Regulu (EEK) Nr. 793/93 un Komisijas Regulu (EK) Nr. 1488/94, kā arī Padomes Direktīvu 76/769/EEK un Komisijas Direktīvu 91/155/EEK, Direktīvu 93/67/EEK, Direktīvu 93/105/EK un Direktīvu 2000/21/EK  nosacījumiem.</w:t>
            </w:r>
          </w:p>
          <w:p w14:paraId="42340811" w14:textId="612658A7" w:rsidR="00F7059C" w:rsidRPr="00DD77BC" w:rsidRDefault="00F7059C" w:rsidP="00DB0D12">
            <w:pPr>
              <w:suppressAutoHyphens/>
              <w:autoSpaceDN w:val="0"/>
              <w:spacing w:line="240" w:lineRule="auto"/>
              <w:jc w:val="both"/>
              <w:textAlignment w:val="baseline"/>
              <w:rPr>
                <w:rFonts w:eastAsia="Times New Roman"/>
                <w:sz w:val="20"/>
                <w:szCs w:val="20"/>
                <w:lang w:eastAsia="lv-LV"/>
              </w:rPr>
            </w:pPr>
          </w:p>
          <w:p w14:paraId="1723EEC3" w14:textId="3BF61C7F" w:rsidR="00F7059C" w:rsidRPr="00DD77BC" w:rsidRDefault="00F7059C" w:rsidP="00DB0D12">
            <w:pPr>
              <w:suppressAutoHyphens/>
              <w:autoSpaceDN w:val="0"/>
              <w:spacing w:line="240" w:lineRule="auto"/>
              <w:jc w:val="both"/>
              <w:textAlignment w:val="baseline"/>
              <w:rPr>
                <w:rFonts w:eastAsia="Times New Roman"/>
                <w:sz w:val="20"/>
                <w:szCs w:val="20"/>
                <w:lang w:eastAsia="lv-LV"/>
              </w:rPr>
            </w:pPr>
            <w:r w:rsidRPr="00DD77BC">
              <w:rPr>
                <w:rFonts w:eastAsia="Times New Roman"/>
                <w:sz w:val="20"/>
                <w:szCs w:val="20"/>
              </w:rPr>
              <w:t>M</w:t>
            </w:r>
            <w:r w:rsidRPr="00DD77BC">
              <w:rPr>
                <w:rFonts w:eastAsia="Calibri"/>
                <w:sz w:val="20"/>
                <w:szCs w:val="20"/>
              </w:rPr>
              <w:t xml:space="preserve">inēto prasību izpilde tiks nodrošināta tādā veidā, ka </w:t>
            </w:r>
            <w:r w:rsidR="00E93061" w:rsidRPr="00DD77BC">
              <w:rPr>
                <w:rFonts w:eastAsia="Times New Roman"/>
                <w:bCs/>
                <w:sz w:val="20"/>
                <w:szCs w:val="20"/>
                <w:lang w:eastAsia="lv-LV"/>
              </w:rPr>
              <w:t xml:space="preserve">Ministru kabineta </w:t>
            </w:r>
            <w:r w:rsidR="00E93061" w:rsidRPr="00DD77BC">
              <w:rPr>
                <w:rFonts w:eastAsia="Times New Roman"/>
                <w:sz w:val="20"/>
                <w:szCs w:val="20"/>
                <w:lang w:eastAsia="lv-LV"/>
              </w:rPr>
              <w:t xml:space="preserve">2011.gada 19.aprīļa </w:t>
            </w:r>
            <w:r w:rsidR="00E93061" w:rsidRPr="00DD77BC">
              <w:rPr>
                <w:rFonts w:eastAsia="Times New Roman"/>
                <w:bCs/>
                <w:sz w:val="20"/>
                <w:szCs w:val="20"/>
                <w:lang w:eastAsia="lv-LV"/>
              </w:rPr>
              <w:t>noteikum</w:t>
            </w:r>
            <w:r w:rsidR="004A2FC4" w:rsidRPr="00DD77BC">
              <w:rPr>
                <w:rFonts w:eastAsia="Times New Roman"/>
                <w:bCs/>
                <w:sz w:val="20"/>
                <w:szCs w:val="20"/>
                <w:lang w:eastAsia="lv-LV"/>
              </w:rPr>
              <w:t xml:space="preserve">u </w:t>
            </w:r>
            <w:r w:rsidR="00E93061" w:rsidRPr="00DD77BC">
              <w:rPr>
                <w:rFonts w:eastAsia="Times New Roman"/>
                <w:bCs/>
                <w:sz w:val="20"/>
                <w:szCs w:val="20"/>
                <w:lang w:eastAsia="lv-LV"/>
              </w:rPr>
              <w:t>Nr.301 “Noteikumi par azbesta un azbesta izstrādājumu ražošanas radīto vides piesārņojumu un azbesta atkritumu apsaimniekošanu</w:t>
            </w:r>
            <w:r w:rsidR="00FF2BEF" w:rsidRPr="00DD77BC">
              <w:rPr>
                <w:rFonts w:eastAsia="Times New Roman"/>
                <w:bCs/>
                <w:sz w:val="20"/>
                <w:szCs w:val="20"/>
                <w:lang w:eastAsia="lv-LV"/>
              </w:rPr>
              <w:t xml:space="preserve">” </w:t>
            </w:r>
            <w:r w:rsidRPr="00DD77BC">
              <w:rPr>
                <w:rFonts w:eastAsia="Calibri"/>
                <w:sz w:val="20"/>
                <w:szCs w:val="20"/>
              </w:rPr>
              <w:t>piemērošanas obligātums izriet jau</w:t>
            </w:r>
            <w:r w:rsidR="00326E2A" w:rsidRPr="00DD77BC">
              <w:rPr>
                <w:rFonts w:eastAsia="Calibri"/>
                <w:sz w:val="20"/>
                <w:szCs w:val="20"/>
              </w:rPr>
              <w:t xml:space="preserve"> no </w:t>
            </w:r>
            <w:r w:rsidR="00326E2A" w:rsidRPr="00DD77BC">
              <w:rPr>
                <w:rFonts w:eastAsia="Calibri"/>
                <w:sz w:val="20"/>
                <w:szCs w:val="20"/>
              </w:rPr>
              <w:lastRenderedPageBreak/>
              <w:t>vispārējām atkritumu apsaimniekošanas prasībām</w:t>
            </w:r>
            <w:r w:rsidR="004A2FC4" w:rsidRPr="00DD77BC">
              <w:rPr>
                <w:rFonts w:eastAsia="Calibri"/>
                <w:sz w:val="20"/>
                <w:szCs w:val="20"/>
              </w:rPr>
              <w:t xml:space="preserve">, kas ir jāievēro visām atkritumu </w:t>
            </w:r>
            <w:r w:rsidR="0041598F" w:rsidRPr="00DD77BC">
              <w:rPr>
                <w:rFonts w:eastAsia="Calibri"/>
                <w:sz w:val="20"/>
                <w:szCs w:val="20"/>
              </w:rPr>
              <w:t>apsaimniekošanā iesaistītajām</w:t>
            </w:r>
            <w:r w:rsidR="004A2FC4" w:rsidRPr="00DD77BC">
              <w:rPr>
                <w:rFonts w:eastAsia="Calibri"/>
                <w:sz w:val="20"/>
                <w:szCs w:val="20"/>
              </w:rPr>
              <w:t xml:space="preserve"> personām. </w:t>
            </w:r>
            <w:r w:rsidR="00A14CBB" w:rsidRPr="00DD77BC">
              <w:rPr>
                <w:rFonts w:eastAsia="Times New Roman"/>
                <w:sz w:val="20"/>
                <w:szCs w:val="20"/>
              </w:rPr>
              <w:t>To kontrole tiek veikta būvniecības un vides aizsardzības normatīvo aktu noteiktajā apjomā un kārtībā.</w:t>
            </w:r>
          </w:p>
          <w:p w14:paraId="51E43CC9" w14:textId="5CC15722" w:rsidR="00F7059C" w:rsidRPr="00DD77BC" w:rsidRDefault="00F7059C" w:rsidP="00DB0D12">
            <w:pPr>
              <w:suppressAutoHyphens/>
              <w:autoSpaceDN w:val="0"/>
              <w:spacing w:line="240" w:lineRule="auto"/>
              <w:jc w:val="both"/>
              <w:textAlignment w:val="baseline"/>
              <w:rPr>
                <w:sz w:val="20"/>
                <w:szCs w:val="20"/>
              </w:rPr>
            </w:pPr>
          </w:p>
        </w:tc>
      </w:tr>
      <w:tr w:rsidR="00DB0D12" w:rsidRPr="00DD77BC" w14:paraId="5527E8D0" w14:textId="77777777" w:rsidTr="3013ECA5">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6AD400B2" w14:textId="77777777" w:rsidR="00DB0D12" w:rsidRPr="00DD77BC" w:rsidRDefault="00DB0D12" w:rsidP="00DB0D12">
            <w:pPr>
              <w:spacing w:line="240" w:lineRule="auto"/>
              <w:jc w:val="both"/>
              <w:rPr>
                <w:rFonts w:eastAsia="Times New Roman"/>
                <w:sz w:val="20"/>
                <w:szCs w:val="20"/>
                <w:lang w:eastAsia="lv-LV"/>
              </w:rPr>
            </w:pPr>
            <w:r w:rsidRPr="00DD77BC">
              <w:rPr>
                <w:rFonts w:eastAsia="Times New Roman"/>
                <w:b/>
                <w:bCs/>
                <w:sz w:val="20"/>
                <w:szCs w:val="20"/>
                <w:lang w:eastAsia="lv-LV"/>
              </w:rPr>
              <w:lastRenderedPageBreak/>
              <w:t>Bioloģiskās daudzveidības un ekosistēmu aizsardzība un atjaunošana.</w:t>
            </w:r>
            <w:r w:rsidRPr="00DD77BC">
              <w:rPr>
                <w:rFonts w:eastAsia="Times New Roman"/>
                <w:sz w:val="20"/>
                <w:szCs w:val="20"/>
                <w:lang w:eastAsia="lv-LV"/>
              </w:rPr>
              <w:t xml:space="preserve"> </w:t>
            </w:r>
          </w:p>
          <w:p w14:paraId="622B9C3B" w14:textId="77777777" w:rsidR="00DB0D12" w:rsidRPr="00DD77BC" w:rsidRDefault="00DB0D12" w:rsidP="00DB0D12">
            <w:pPr>
              <w:spacing w:line="240" w:lineRule="auto"/>
              <w:jc w:val="both"/>
              <w:rPr>
                <w:sz w:val="20"/>
                <w:szCs w:val="20"/>
              </w:rPr>
            </w:pPr>
            <w:r w:rsidRPr="00DD77BC">
              <w:rPr>
                <w:rFonts w:eastAsia="Times New Roman"/>
                <w:sz w:val="20"/>
                <w:szCs w:val="20"/>
                <w:lang w:eastAsia="lv-LV"/>
              </w:rPr>
              <w:t>Vai paredzams, ka pasākums:</w:t>
            </w:r>
            <w:r w:rsidRPr="00DD77BC">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3E156F1B" w14:textId="4DB28CDF" w:rsidR="00DB0D12" w:rsidRPr="00DD77BC" w:rsidRDefault="000D4AF1" w:rsidP="00DB0D12">
            <w:pPr>
              <w:spacing w:line="240" w:lineRule="auto"/>
              <w:jc w:val="center"/>
              <w:rPr>
                <w:rFonts w:eastAsia="Times New Roman"/>
                <w:b/>
                <w:bCs/>
                <w:sz w:val="20"/>
                <w:szCs w:val="20"/>
                <w:lang w:eastAsia="lv-LV"/>
              </w:rPr>
            </w:pPr>
            <w:r w:rsidRPr="00DD77BC">
              <w:rPr>
                <w:rFonts w:eastAsia="Times New Roman"/>
                <w:b/>
                <w:bCs/>
                <w:sz w:val="20"/>
                <w:szCs w:val="20"/>
                <w:lang w:eastAsia="lv-LV"/>
              </w:rPr>
              <w:t>X</w:t>
            </w:r>
          </w:p>
        </w:tc>
        <w:tc>
          <w:tcPr>
            <w:tcW w:w="116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F453929" w14:textId="77777777" w:rsidR="00DB0D12" w:rsidRPr="00DD77BC" w:rsidRDefault="00DB0D12" w:rsidP="00DB0D12">
            <w:pPr>
              <w:spacing w:line="240" w:lineRule="auto"/>
              <w:jc w:val="both"/>
              <w:rPr>
                <w:rFonts w:eastAsia="Times New Roman"/>
                <w:sz w:val="20"/>
                <w:szCs w:val="20"/>
                <w:lang w:eastAsia="lv-LV"/>
              </w:rPr>
            </w:pPr>
            <w:r w:rsidRPr="00DD77BC">
              <w:rPr>
                <w:rFonts w:eastAsia="Times New Roman"/>
                <w:sz w:val="20"/>
                <w:szCs w:val="20"/>
                <w:lang w:eastAsia="lv-LV"/>
              </w:rPr>
              <w:t>Nav paredzama negatīva ietekme uz bioloģisko daudzveidību un ekosistēmas aizsardzību un atjaunošanu, jo:</w:t>
            </w:r>
          </w:p>
          <w:p w14:paraId="6C659D58" w14:textId="02BE9A21" w:rsidR="001E0CC2" w:rsidRPr="00DD77BC" w:rsidRDefault="001E0CC2" w:rsidP="00DB0D12">
            <w:pPr>
              <w:pStyle w:val="ListParagraph"/>
              <w:numPr>
                <w:ilvl w:val="0"/>
                <w:numId w:val="13"/>
              </w:numPr>
              <w:spacing w:line="240" w:lineRule="auto"/>
              <w:jc w:val="both"/>
              <w:rPr>
                <w:rFonts w:ascii="Times New Roman" w:eastAsia="Times New Roman" w:hAnsi="Times New Roman" w:cs="Times New Roman"/>
                <w:sz w:val="20"/>
                <w:szCs w:val="20"/>
                <w:lang w:val="lv-LV" w:eastAsia="lv-LV"/>
              </w:rPr>
            </w:pPr>
            <w:r w:rsidRPr="00DD77BC">
              <w:rPr>
                <w:rFonts w:ascii="Times New Roman" w:eastAsia="Times New Roman" w:hAnsi="Times New Roman" w:cs="Times New Roman"/>
                <w:sz w:val="20"/>
                <w:szCs w:val="20"/>
                <w:lang w:val="lv-LV" w:eastAsia="lv-LV"/>
              </w:rPr>
              <w:t>Atbalsta pasākuma ietvaros būvēt/pārbūvēt pašvaldības sociālās un</w:t>
            </w:r>
            <w:r w:rsidR="00DB0D12" w:rsidRPr="00DD77BC">
              <w:rPr>
                <w:rFonts w:ascii="Times New Roman" w:eastAsia="Times New Roman" w:hAnsi="Times New Roman" w:cs="Times New Roman"/>
                <w:sz w:val="20"/>
                <w:szCs w:val="20"/>
                <w:lang w:val="lv-LV" w:eastAsia="lv-LV"/>
              </w:rPr>
              <w:t xml:space="preserve"> īres</w:t>
            </w:r>
            <w:r w:rsidRPr="00DD77BC">
              <w:rPr>
                <w:rFonts w:ascii="Times New Roman" w:eastAsia="Times New Roman" w:hAnsi="Times New Roman" w:cs="Times New Roman"/>
                <w:sz w:val="20"/>
                <w:szCs w:val="20"/>
                <w:lang w:val="lv-LV" w:eastAsia="lv-LV"/>
              </w:rPr>
              <w:t xml:space="preserve"> dzīvojamās mājas </w:t>
            </w:r>
            <w:r w:rsidR="00DB0D12" w:rsidRPr="00DD77BC">
              <w:rPr>
                <w:rFonts w:ascii="Times New Roman" w:eastAsia="Times New Roman" w:hAnsi="Times New Roman" w:cs="Times New Roman"/>
                <w:sz w:val="20"/>
                <w:szCs w:val="20"/>
                <w:lang w:val="lv-LV" w:eastAsia="lv-LV"/>
              </w:rPr>
              <w:t>plānots dzīvojamās apbūves teritorijās</w:t>
            </w:r>
            <w:r w:rsidRPr="00DD77BC">
              <w:rPr>
                <w:rFonts w:ascii="Times New Roman" w:eastAsia="Times New Roman" w:hAnsi="Times New Roman" w:cs="Times New Roman"/>
                <w:sz w:val="20"/>
                <w:szCs w:val="20"/>
                <w:lang w:val="lv-LV" w:eastAsia="lv-LV"/>
              </w:rPr>
              <w:t>, tāpat arī esošie pašvaldības dzīvokļi, kurus plānots atjaunot pasākuma ietvaros, atrodas dzīvojamās apbūves teritorijās</w:t>
            </w:r>
            <w:r w:rsidR="00DB0D12" w:rsidRPr="00DD77BC">
              <w:rPr>
                <w:rFonts w:ascii="Times New Roman" w:eastAsia="Times New Roman" w:hAnsi="Times New Roman" w:cs="Times New Roman"/>
                <w:sz w:val="20"/>
                <w:szCs w:val="20"/>
                <w:lang w:val="lv-LV" w:eastAsia="lv-LV"/>
              </w:rPr>
              <w:t>.</w:t>
            </w:r>
          </w:p>
          <w:p w14:paraId="00478D2B" w14:textId="77777777" w:rsidR="003F11FC" w:rsidRPr="00DD77BC" w:rsidRDefault="001E0CC2" w:rsidP="003F11FC">
            <w:pPr>
              <w:pStyle w:val="ListParagraph"/>
              <w:numPr>
                <w:ilvl w:val="0"/>
                <w:numId w:val="13"/>
              </w:numPr>
              <w:spacing w:line="240" w:lineRule="auto"/>
              <w:jc w:val="both"/>
              <w:rPr>
                <w:rFonts w:ascii="Times New Roman" w:eastAsia="Times New Roman" w:hAnsi="Times New Roman" w:cs="Times New Roman"/>
                <w:sz w:val="20"/>
                <w:szCs w:val="20"/>
                <w:lang w:val="lv-LV" w:eastAsia="lv-LV"/>
              </w:rPr>
            </w:pPr>
            <w:r w:rsidRPr="00DD77BC">
              <w:rPr>
                <w:rFonts w:ascii="Times New Roman" w:eastAsia="Times New Roman" w:hAnsi="Times New Roman" w:cs="Times New Roman"/>
                <w:sz w:val="20"/>
                <w:szCs w:val="20"/>
                <w:lang w:val="lv-LV" w:eastAsia="lv-LV"/>
              </w:rPr>
              <w:t>Atbalsta pasākuma ietvaros nav plānots būvēt/pārbūvēt</w:t>
            </w:r>
            <w:r w:rsidR="00605882" w:rsidRPr="00DD77BC">
              <w:rPr>
                <w:rFonts w:ascii="Times New Roman" w:eastAsia="Times New Roman" w:hAnsi="Times New Roman" w:cs="Times New Roman"/>
                <w:sz w:val="20"/>
                <w:szCs w:val="20"/>
                <w:lang w:val="lv-LV" w:eastAsia="lv-LV"/>
              </w:rPr>
              <w:t xml:space="preserve">/atjaunot </w:t>
            </w:r>
            <w:r w:rsidRPr="00DD77BC">
              <w:rPr>
                <w:rFonts w:ascii="Times New Roman" w:eastAsia="Times New Roman" w:hAnsi="Times New Roman" w:cs="Times New Roman"/>
                <w:sz w:val="20"/>
                <w:szCs w:val="20"/>
                <w:lang w:val="lv-LV" w:eastAsia="lv-LV"/>
              </w:rPr>
              <w:t>pašvaldību sociālās un īres dzīvojamās mājas</w:t>
            </w:r>
            <w:r w:rsidR="00DB0D12" w:rsidRPr="00DD77BC">
              <w:rPr>
                <w:rFonts w:ascii="Times New Roman" w:eastAsia="Times New Roman" w:hAnsi="Times New Roman" w:cs="Times New Roman"/>
                <w:sz w:val="20"/>
                <w:szCs w:val="20"/>
                <w:lang w:val="lv-LV" w:eastAsia="lv-LV"/>
              </w:rPr>
              <w:t xml:space="preserve"> īpaši aizsargājamajās dabas teritorijās, kur nepieciešams nodrošināt Savienības nozīmes dzīvotņu un sugu aizsardzību, nodrošinot biotopiem un sugām labvēlīgu stāvokli. </w:t>
            </w:r>
          </w:p>
          <w:p w14:paraId="57543952" w14:textId="2508499D" w:rsidR="003F11FC" w:rsidRPr="00DD77BC" w:rsidRDefault="003F11FC" w:rsidP="003F11FC">
            <w:pPr>
              <w:pStyle w:val="ListParagraph"/>
              <w:spacing w:line="240" w:lineRule="auto"/>
              <w:jc w:val="both"/>
              <w:rPr>
                <w:rFonts w:ascii="Times New Roman" w:eastAsia="Times New Roman" w:hAnsi="Times New Roman" w:cs="Times New Roman"/>
                <w:sz w:val="20"/>
                <w:szCs w:val="20"/>
                <w:lang w:val="lv-LV" w:eastAsia="lv-LV"/>
              </w:rPr>
            </w:pPr>
            <w:r w:rsidRPr="00DD77BC">
              <w:rPr>
                <w:rFonts w:ascii="Times New Roman" w:hAnsi="Times New Roman" w:cs="Times New Roman"/>
                <w:sz w:val="20"/>
                <w:szCs w:val="20"/>
                <w:lang w:val="lv-LV"/>
              </w:rPr>
              <w:t>Minēto prasību izpilde tiks nodrošināta tādā veidā, ka, veicot jebkurus būvdarbus Latvijas Republikas teritorijā, bū</w:t>
            </w:r>
            <w:r w:rsidR="003E165E" w:rsidRPr="00DD77BC">
              <w:rPr>
                <w:rFonts w:ascii="Times New Roman" w:hAnsi="Times New Roman" w:cs="Times New Roman"/>
                <w:sz w:val="20"/>
                <w:szCs w:val="20"/>
                <w:lang w:val="lv-LV"/>
              </w:rPr>
              <w:t>v</w:t>
            </w:r>
            <w:r w:rsidRPr="00DD77BC">
              <w:rPr>
                <w:rFonts w:ascii="Times New Roman" w:hAnsi="Times New Roman" w:cs="Times New Roman"/>
                <w:sz w:val="20"/>
                <w:szCs w:val="20"/>
                <w:lang w:val="lv-LV"/>
              </w:rPr>
              <w:t>niecības procesā iesaistītajām personām ir obligāti jāpiemēro Būvniecības likums, tai skaitā  ir jāievēro arī teritorijas plānošanas principi un attiecīgie normatīvie akti, kas aizliedz daudzdzīvokļu dzīvojamo māju apbūvi šādās teritorijās.</w:t>
            </w:r>
          </w:p>
        </w:tc>
      </w:tr>
    </w:tbl>
    <w:p w14:paraId="771B4E39" w14:textId="0384225F" w:rsidR="003062B1" w:rsidRPr="00DD77BC" w:rsidRDefault="003062B1" w:rsidP="003062B1">
      <w:pPr>
        <w:spacing w:line="240" w:lineRule="auto"/>
        <w:rPr>
          <w:rFonts w:eastAsia="Times New Roman"/>
          <w:b/>
          <w:sz w:val="20"/>
          <w:szCs w:val="20"/>
        </w:rPr>
      </w:pPr>
    </w:p>
    <w:p w14:paraId="7F274796" w14:textId="20F244B9" w:rsidR="005F4A45" w:rsidRPr="00DD77BC" w:rsidRDefault="005F4A45" w:rsidP="003062B1">
      <w:pPr>
        <w:spacing w:line="240" w:lineRule="auto"/>
        <w:rPr>
          <w:rFonts w:eastAsia="Times New Roman"/>
          <w:b/>
          <w:sz w:val="20"/>
          <w:szCs w:val="20"/>
        </w:rPr>
      </w:pPr>
    </w:p>
    <w:p w14:paraId="0943312C" w14:textId="71C20ECB" w:rsidR="005F4A45" w:rsidRPr="00DD77BC" w:rsidRDefault="005F4A45" w:rsidP="003062B1">
      <w:pPr>
        <w:spacing w:line="240" w:lineRule="auto"/>
        <w:rPr>
          <w:rFonts w:eastAsia="Times New Roman"/>
          <w:b/>
          <w:sz w:val="20"/>
          <w:szCs w:val="20"/>
        </w:rPr>
      </w:pPr>
    </w:p>
    <w:p w14:paraId="3CBE6939" w14:textId="6FD783B3" w:rsidR="005F4A45" w:rsidRPr="00DD77BC" w:rsidRDefault="005F4A45" w:rsidP="003062B1">
      <w:pPr>
        <w:spacing w:line="240" w:lineRule="auto"/>
        <w:rPr>
          <w:rFonts w:eastAsia="Times New Roman"/>
          <w:b/>
          <w:sz w:val="20"/>
          <w:szCs w:val="20"/>
        </w:rPr>
      </w:pPr>
    </w:p>
    <w:p w14:paraId="6B46F096" w14:textId="1B889DF6" w:rsidR="00383827" w:rsidRPr="00DD77BC" w:rsidRDefault="00383827" w:rsidP="003062B1">
      <w:pPr>
        <w:spacing w:line="240" w:lineRule="auto"/>
        <w:rPr>
          <w:rFonts w:eastAsia="Times New Roman"/>
          <w:b/>
          <w:sz w:val="20"/>
          <w:szCs w:val="20"/>
        </w:rPr>
      </w:pPr>
    </w:p>
    <w:sectPr w:rsidR="00383827" w:rsidRPr="00DD77BC" w:rsidSect="003845E7">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3CED94" w14:textId="77777777" w:rsidR="00ED64B9" w:rsidRDefault="00ED64B9" w:rsidP="003062B1">
      <w:pPr>
        <w:spacing w:line="240" w:lineRule="auto"/>
      </w:pPr>
      <w:r>
        <w:separator/>
      </w:r>
    </w:p>
  </w:endnote>
  <w:endnote w:type="continuationSeparator" w:id="0">
    <w:p w14:paraId="561250D2" w14:textId="77777777" w:rsidR="00ED64B9" w:rsidRDefault="00ED64B9" w:rsidP="003062B1">
      <w:pPr>
        <w:spacing w:line="240" w:lineRule="auto"/>
      </w:pPr>
      <w:r>
        <w:continuationSeparator/>
      </w:r>
    </w:p>
  </w:endnote>
  <w:endnote w:type="continuationNotice" w:id="1">
    <w:p w14:paraId="5A40C135" w14:textId="77777777" w:rsidR="00ED64B9" w:rsidRDefault="00ED64B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AEE589" w14:textId="77777777" w:rsidR="00ED64B9" w:rsidRDefault="00ED64B9" w:rsidP="003062B1">
      <w:pPr>
        <w:spacing w:line="240" w:lineRule="auto"/>
      </w:pPr>
      <w:r>
        <w:separator/>
      </w:r>
    </w:p>
  </w:footnote>
  <w:footnote w:type="continuationSeparator" w:id="0">
    <w:p w14:paraId="29B6A935" w14:textId="77777777" w:rsidR="00ED64B9" w:rsidRDefault="00ED64B9" w:rsidP="003062B1">
      <w:pPr>
        <w:spacing w:line="240" w:lineRule="auto"/>
      </w:pPr>
      <w:r>
        <w:continuationSeparator/>
      </w:r>
    </w:p>
  </w:footnote>
  <w:footnote w:type="continuationNotice" w:id="1">
    <w:p w14:paraId="34B456A8" w14:textId="77777777" w:rsidR="00ED64B9" w:rsidRDefault="00ED64B9">
      <w:pPr>
        <w:spacing w:line="240" w:lineRule="auto"/>
      </w:pPr>
    </w:p>
  </w:footnote>
  <w:footnote w:id="2">
    <w:p w14:paraId="2006C15A" w14:textId="5F2C4808"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novērtējuma 2.daļā tiek apliecināts,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26E37"/>
    <w:multiLevelType w:val="hybridMultilevel"/>
    <w:tmpl w:val="E0AA5EB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166F457E"/>
    <w:multiLevelType w:val="hybridMultilevel"/>
    <w:tmpl w:val="FFFFFFFF"/>
    <w:lvl w:ilvl="0" w:tplc="4AB46F94">
      <w:start w:val="1"/>
      <w:numFmt w:val="bullet"/>
      <w:lvlText w:val="·"/>
      <w:lvlJc w:val="left"/>
      <w:pPr>
        <w:ind w:left="720" w:hanging="360"/>
      </w:pPr>
      <w:rPr>
        <w:rFonts w:ascii="Symbol" w:hAnsi="Symbol" w:hint="default"/>
      </w:rPr>
    </w:lvl>
    <w:lvl w:ilvl="1" w:tplc="D980A6B2">
      <w:start w:val="1"/>
      <w:numFmt w:val="bullet"/>
      <w:lvlText w:val="o"/>
      <w:lvlJc w:val="left"/>
      <w:pPr>
        <w:ind w:left="1440" w:hanging="360"/>
      </w:pPr>
      <w:rPr>
        <w:rFonts w:ascii="Courier New" w:hAnsi="Courier New" w:hint="default"/>
      </w:rPr>
    </w:lvl>
    <w:lvl w:ilvl="2" w:tplc="8C8C6CD8">
      <w:start w:val="1"/>
      <w:numFmt w:val="bullet"/>
      <w:lvlText w:val=""/>
      <w:lvlJc w:val="left"/>
      <w:pPr>
        <w:ind w:left="2160" w:hanging="360"/>
      </w:pPr>
      <w:rPr>
        <w:rFonts w:ascii="Wingdings" w:hAnsi="Wingdings" w:hint="default"/>
      </w:rPr>
    </w:lvl>
    <w:lvl w:ilvl="3" w:tplc="F4143CFC">
      <w:start w:val="1"/>
      <w:numFmt w:val="bullet"/>
      <w:lvlText w:val=""/>
      <w:lvlJc w:val="left"/>
      <w:pPr>
        <w:ind w:left="2880" w:hanging="360"/>
      </w:pPr>
      <w:rPr>
        <w:rFonts w:ascii="Symbol" w:hAnsi="Symbol" w:hint="default"/>
      </w:rPr>
    </w:lvl>
    <w:lvl w:ilvl="4" w:tplc="E9F26C1C">
      <w:start w:val="1"/>
      <w:numFmt w:val="bullet"/>
      <w:lvlText w:val="o"/>
      <w:lvlJc w:val="left"/>
      <w:pPr>
        <w:ind w:left="3600" w:hanging="360"/>
      </w:pPr>
      <w:rPr>
        <w:rFonts w:ascii="Courier New" w:hAnsi="Courier New" w:hint="default"/>
      </w:rPr>
    </w:lvl>
    <w:lvl w:ilvl="5" w:tplc="100261A4">
      <w:start w:val="1"/>
      <w:numFmt w:val="bullet"/>
      <w:lvlText w:val=""/>
      <w:lvlJc w:val="left"/>
      <w:pPr>
        <w:ind w:left="4320" w:hanging="360"/>
      </w:pPr>
      <w:rPr>
        <w:rFonts w:ascii="Wingdings" w:hAnsi="Wingdings" w:hint="default"/>
      </w:rPr>
    </w:lvl>
    <w:lvl w:ilvl="6" w:tplc="446068D0">
      <w:start w:val="1"/>
      <w:numFmt w:val="bullet"/>
      <w:lvlText w:val=""/>
      <w:lvlJc w:val="left"/>
      <w:pPr>
        <w:ind w:left="5040" w:hanging="360"/>
      </w:pPr>
      <w:rPr>
        <w:rFonts w:ascii="Symbol" w:hAnsi="Symbol" w:hint="default"/>
      </w:rPr>
    </w:lvl>
    <w:lvl w:ilvl="7" w:tplc="53FA38C6">
      <w:start w:val="1"/>
      <w:numFmt w:val="bullet"/>
      <w:lvlText w:val="o"/>
      <w:lvlJc w:val="left"/>
      <w:pPr>
        <w:ind w:left="5760" w:hanging="360"/>
      </w:pPr>
      <w:rPr>
        <w:rFonts w:ascii="Courier New" w:hAnsi="Courier New" w:hint="default"/>
      </w:rPr>
    </w:lvl>
    <w:lvl w:ilvl="8" w:tplc="7B807E5A">
      <w:start w:val="1"/>
      <w:numFmt w:val="bullet"/>
      <w:lvlText w:val=""/>
      <w:lvlJc w:val="left"/>
      <w:pPr>
        <w:ind w:left="6480" w:hanging="360"/>
      </w:pPr>
      <w:rPr>
        <w:rFonts w:ascii="Wingdings" w:hAnsi="Wingdings" w:hint="default"/>
      </w:rPr>
    </w:lvl>
  </w:abstractNum>
  <w:abstractNum w:abstractNumId="3" w15:restartNumberingAfterBreak="0">
    <w:nsid w:val="17152A2C"/>
    <w:multiLevelType w:val="hybridMultilevel"/>
    <w:tmpl w:val="FFFFFFFF"/>
    <w:lvl w:ilvl="0" w:tplc="2C98103C">
      <w:start w:val="1"/>
      <w:numFmt w:val="bullet"/>
      <w:lvlText w:val="-"/>
      <w:lvlJc w:val="left"/>
      <w:pPr>
        <w:ind w:left="720" w:hanging="360"/>
      </w:pPr>
      <w:rPr>
        <w:rFonts w:ascii="Symbol" w:hAnsi="Symbol" w:hint="default"/>
      </w:rPr>
    </w:lvl>
    <w:lvl w:ilvl="1" w:tplc="5066D5EE">
      <w:start w:val="1"/>
      <w:numFmt w:val="bullet"/>
      <w:lvlText w:val="o"/>
      <w:lvlJc w:val="left"/>
      <w:pPr>
        <w:ind w:left="1440" w:hanging="360"/>
      </w:pPr>
      <w:rPr>
        <w:rFonts w:ascii="Courier New" w:hAnsi="Courier New" w:cs="Times New Roman" w:hint="default"/>
      </w:rPr>
    </w:lvl>
    <w:lvl w:ilvl="2" w:tplc="BA5AA314">
      <w:start w:val="1"/>
      <w:numFmt w:val="bullet"/>
      <w:lvlText w:val=""/>
      <w:lvlJc w:val="left"/>
      <w:pPr>
        <w:ind w:left="2160" w:hanging="360"/>
      </w:pPr>
      <w:rPr>
        <w:rFonts w:ascii="Wingdings" w:hAnsi="Wingdings" w:hint="default"/>
      </w:rPr>
    </w:lvl>
    <w:lvl w:ilvl="3" w:tplc="C2F248B0">
      <w:start w:val="1"/>
      <w:numFmt w:val="bullet"/>
      <w:lvlText w:val=""/>
      <w:lvlJc w:val="left"/>
      <w:pPr>
        <w:ind w:left="2880" w:hanging="360"/>
      </w:pPr>
      <w:rPr>
        <w:rFonts w:ascii="Symbol" w:hAnsi="Symbol" w:hint="default"/>
      </w:rPr>
    </w:lvl>
    <w:lvl w:ilvl="4" w:tplc="EC4A8E18">
      <w:start w:val="1"/>
      <w:numFmt w:val="bullet"/>
      <w:lvlText w:val="o"/>
      <w:lvlJc w:val="left"/>
      <w:pPr>
        <w:ind w:left="3600" w:hanging="360"/>
      </w:pPr>
      <w:rPr>
        <w:rFonts w:ascii="Courier New" w:hAnsi="Courier New" w:cs="Times New Roman" w:hint="default"/>
      </w:rPr>
    </w:lvl>
    <w:lvl w:ilvl="5" w:tplc="A61E46F8">
      <w:start w:val="1"/>
      <w:numFmt w:val="bullet"/>
      <w:lvlText w:val=""/>
      <w:lvlJc w:val="left"/>
      <w:pPr>
        <w:ind w:left="4320" w:hanging="360"/>
      </w:pPr>
      <w:rPr>
        <w:rFonts w:ascii="Wingdings" w:hAnsi="Wingdings" w:hint="default"/>
      </w:rPr>
    </w:lvl>
    <w:lvl w:ilvl="6" w:tplc="183AABB0">
      <w:start w:val="1"/>
      <w:numFmt w:val="bullet"/>
      <w:lvlText w:val=""/>
      <w:lvlJc w:val="left"/>
      <w:pPr>
        <w:ind w:left="5040" w:hanging="360"/>
      </w:pPr>
      <w:rPr>
        <w:rFonts w:ascii="Symbol" w:hAnsi="Symbol" w:hint="default"/>
      </w:rPr>
    </w:lvl>
    <w:lvl w:ilvl="7" w:tplc="18BE89AE">
      <w:start w:val="1"/>
      <w:numFmt w:val="bullet"/>
      <w:lvlText w:val="o"/>
      <w:lvlJc w:val="left"/>
      <w:pPr>
        <w:ind w:left="5760" w:hanging="360"/>
      </w:pPr>
      <w:rPr>
        <w:rFonts w:ascii="Courier New" w:hAnsi="Courier New" w:cs="Times New Roman" w:hint="default"/>
      </w:rPr>
    </w:lvl>
    <w:lvl w:ilvl="8" w:tplc="55E818C2">
      <w:start w:val="1"/>
      <w:numFmt w:val="bullet"/>
      <w:lvlText w:val=""/>
      <w:lvlJc w:val="left"/>
      <w:pPr>
        <w:ind w:left="6480" w:hanging="360"/>
      </w:pPr>
      <w:rPr>
        <w:rFonts w:ascii="Wingdings" w:hAnsi="Wingdings" w:hint="default"/>
      </w:rPr>
    </w:lvl>
  </w:abstractNum>
  <w:abstractNum w:abstractNumId="4" w15:restartNumberingAfterBreak="0">
    <w:nsid w:val="183441DC"/>
    <w:multiLevelType w:val="hybridMultilevel"/>
    <w:tmpl w:val="A2A040C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AF90808"/>
    <w:multiLevelType w:val="hybridMultilevel"/>
    <w:tmpl w:val="9FB8ECCA"/>
    <w:lvl w:ilvl="0" w:tplc="04260001">
      <w:start w:val="1"/>
      <w:numFmt w:val="bullet"/>
      <w:lvlText w:val=""/>
      <w:lvlJc w:val="left"/>
      <w:pPr>
        <w:ind w:left="753" w:hanging="360"/>
      </w:pPr>
      <w:rPr>
        <w:rFonts w:ascii="Symbol" w:hAnsi="Symbol" w:hint="default"/>
      </w:rPr>
    </w:lvl>
    <w:lvl w:ilvl="1" w:tplc="04260003" w:tentative="1">
      <w:start w:val="1"/>
      <w:numFmt w:val="bullet"/>
      <w:lvlText w:val="o"/>
      <w:lvlJc w:val="left"/>
      <w:pPr>
        <w:ind w:left="1473" w:hanging="360"/>
      </w:pPr>
      <w:rPr>
        <w:rFonts w:ascii="Courier New" w:hAnsi="Courier New" w:cs="Courier New" w:hint="default"/>
      </w:rPr>
    </w:lvl>
    <w:lvl w:ilvl="2" w:tplc="04260005" w:tentative="1">
      <w:start w:val="1"/>
      <w:numFmt w:val="bullet"/>
      <w:lvlText w:val=""/>
      <w:lvlJc w:val="left"/>
      <w:pPr>
        <w:ind w:left="2193" w:hanging="360"/>
      </w:pPr>
      <w:rPr>
        <w:rFonts w:ascii="Wingdings" w:hAnsi="Wingdings" w:hint="default"/>
      </w:rPr>
    </w:lvl>
    <w:lvl w:ilvl="3" w:tplc="04260001" w:tentative="1">
      <w:start w:val="1"/>
      <w:numFmt w:val="bullet"/>
      <w:lvlText w:val=""/>
      <w:lvlJc w:val="left"/>
      <w:pPr>
        <w:ind w:left="2913" w:hanging="360"/>
      </w:pPr>
      <w:rPr>
        <w:rFonts w:ascii="Symbol" w:hAnsi="Symbol" w:hint="default"/>
      </w:rPr>
    </w:lvl>
    <w:lvl w:ilvl="4" w:tplc="04260003" w:tentative="1">
      <w:start w:val="1"/>
      <w:numFmt w:val="bullet"/>
      <w:lvlText w:val="o"/>
      <w:lvlJc w:val="left"/>
      <w:pPr>
        <w:ind w:left="3633" w:hanging="360"/>
      </w:pPr>
      <w:rPr>
        <w:rFonts w:ascii="Courier New" w:hAnsi="Courier New" w:cs="Courier New" w:hint="default"/>
      </w:rPr>
    </w:lvl>
    <w:lvl w:ilvl="5" w:tplc="04260005" w:tentative="1">
      <w:start w:val="1"/>
      <w:numFmt w:val="bullet"/>
      <w:lvlText w:val=""/>
      <w:lvlJc w:val="left"/>
      <w:pPr>
        <w:ind w:left="4353" w:hanging="360"/>
      </w:pPr>
      <w:rPr>
        <w:rFonts w:ascii="Wingdings" w:hAnsi="Wingdings" w:hint="default"/>
      </w:rPr>
    </w:lvl>
    <w:lvl w:ilvl="6" w:tplc="04260001" w:tentative="1">
      <w:start w:val="1"/>
      <w:numFmt w:val="bullet"/>
      <w:lvlText w:val=""/>
      <w:lvlJc w:val="left"/>
      <w:pPr>
        <w:ind w:left="5073" w:hanging="360"/>
      </w:pPr>
      <w:rPr>
        <w:rFonts w:ascii="Symbol" w:hAnsi="Symbol" w:hint="default"/>
      </w:rPr>
    </w:lvl>
    <w:lvl w:ilvl="7" w:tplc="04260003" w:tentative="1">
      <w:start w:val="1"/>
      <w:numFmt w:val="bullet"/>
      <w:lvlText w:val="o"/>
      <w:lvlJc w:val="left"/>
      <w:pPr>
        <w:ind w:left="5793" w:hanging="360"/>
      </w:pPr>
      <w:rPr>
        <w:rFonts w:ascii="Courier New" w:hAnsi="Courier New" w:cs="Courier New" w:hint="default"/>
      </w:rPr>
    </w:lvl>
    <w:lvl w:ilvl="8" w:tplc="04260005" w:tentative="1">
      <w:start w:val="1"/>
      <w:numFmt w:val="bullet"/>
      <w:lvlText w:val=""/>
      <w:lvlJc w:val="left"/>
      <w:pPr>
        <w:ind w:left="6513" w:hanging="360"/>
      </w:pPr>
      <w:rPr>
        <w:rFonts w:ascii="Wingdings" w:hAnsi="Wingdings" w:hint="default"/>
      </w:rPr>
    </w:lvl>
  </w:abstractNum>
  <w:abstractNum w:abstractNumId="6" w15:restartNumberingAfterBreak="0">
    <w:nsid w:val="1B3C7A32"/>
    <w:multiLevelType w:val="hybridMultilevel"/>
    <w:tmpl w:val="2B666F54"/>
    <w:lvl w:ilvl="0" w:tplc="44F4B464">
      <w:start w:val="1"/>
      <w:numFmt w:val="bullet"/>
      <w:lvlText w:val="·"/>
      <w:lvlJc w:val="left"/>
      <w:pPr>
        <w:ind w:left="720" w:hanging="360"/>
      </w:pPr>
      <w:rPr>
        <w:rFonts w:ascii="Symbol" w:hAnsi="Symbol" w:hint="default"/>
      </w:rPr>
    </w:lvl>
    <w:lvl w:ilvl="1" w:tplc="02A49B64">
      <w:start w:val="1"/>
      <w:numFmt w:val="bullet"/>
      <w:lvlText w:val="o"/>
      <w:lvlJc w:val="left"/>
      <w:pPr>
        <w:ind w:left="1440" w:hanging="360"/>
      </w:pPr>
      <w:rPr>
        <w:rFonts w:ascii="Courier New" w:hAnsi="Courier New" w:hint="default"/>
      </w:rPr>
    </w:lvl>
    <w:lvl w:ilvl="2" w:tplc="DCF8A504">
      <w:start w:val="1"/>
      <w:numFmt w:val="bullet"/>
      <w:lvlText w:val=""/>
      <w:lvlJc w:val="left"/>
      <w:pPr>
        <w:ind w:left="2160" w:hanging="360"/>
      </w:pPr>
      <w:rPr>
        <w:rFonts w:ascii="Wingdings" w:hAnsi="Wingdings" w:hint="default"/>
      </w:rPr>
    </w:lvl>
    <w:lvl w:ilvl="3" w:tplc="FDBA4D0A">
      <w:start w:val="1"/>
      <w:numFmt w:val="bullet"/>
      <w:lvlText w:val=""/>
      <w:lvlJc w:val="left"/>
      <w:pPr>
        <w:ind w:left="2880" w:hanging="360"/>
      </w:pPr>
      <w:rPr>
        <w:rFonts w:ascii="Symbol" w:hAnsi="Symbol" w:hint="default"/>
      </w:rPr>
    </w:lvl>
    <w:lvl w:ilvl="4" w:tplc="EC9A96DA">
      <w:start w:val="1"/>
      <w:numFmt w:val="bullet"/>
      <w:lvlText w:val="o"/>
      <w:lvlJc w:val="left"/>
      <w:pPr>
        <w:ind w:left="3600" w:hanging="360"/>
      </w:pPr>
      <w:rPr>
        <w:rFonts w:ascii="Courier New" w:hAnsi="Courier New" w:hint="default"/>
      </w:rPr>
    </w:lvl>
    <w:lvl w:ilvl="5" w:tplc="BB3C63E0">
      <w:start w:val="1"/>
      <w:numFmt w:val="bullet"/>
      <w:lvlText w:val=""/>
      <w:lvlJc w:val="left"/>
      <w:pPr>
        <w:ind w:left="4320" w:hanging="360"/>
      </w:pPr>
      <w:rPr>
        <w:rFonts w:ascii="Wingdings" w:hAnsi="Wingdings" w:hint="default"/>
      </w:rPr>
    </w:lvl>
    <w:lvl w:ilvl="6" w:tplc="15CC9CA4">
      <w:start w:val="1"/>
      <w:numFmt w:val="bullet"/>
      <w:lvlText w:val=""/>
      <w:lvlJc w:val="left"/>
      <w:pPr>
        <w:ind w:left="5040" w:hanging="360"/>
      </w:pPr>
      <w:rPr>
        <w:rFonts w:ascii="Symbol" w:hAnsi="Symbol" w:hint="default"/>
      </w:rPr>
    </w:lvl>
    <w:lvl w:ilvl="7" w:tplc="D60C144C">
      <w:start w:val="1"/>
      <w:numFmt w:val="bullet"/>
      <w:lvlText w:val="o"/>
      <w:lvlJc w:val="left"/>
      <w:pPr>
        <w:ind w:left="5760" w:hanging="360"/>
      </w:pPr>
      <w:rPr>
        <w:rFonts w:ascii="Courier New" w:hAnsi="Courier New" w:hint="default"/>
      </w:rPr>
    </w:lvl>
    <w:lvl w:ilvl="8" w:tplc="09CC3A8C">
      <w:start w:val="1"/>
      <w:numFmt w:val="bullet"/>
      <w:lvlText w:val=""/>
      <w:lvlJc w:val="left"/>
      <w:pPr>
        <w:ind w:left="6480" w:hanging="360"/>
      </w:pPr>
      <w:rPr>
        <w:rFonts w:ascii="Wingdings" w:hAnsi="Wingdings" w:hint="default"/>
      </w:rPr>
    </w:lvl>
  </w:abstractNum>
  <w:abstractNum w:abstractNumId="7" w15:restartNumberingAfterBreak="0">
    <w:nsid w:val="29B0001D"/>
    <w:multiLevelType w:val="hybridMultilevel"/>
    <w:tmpl w:val="FFFFFFFF"/>
    <w:lvl w:ilvl="0" w:tplc="1C4A927C">
      <w:start w:val="1"/>
      <w:numFmt w:val="bullet"/>
      <w:lvlText w:val=""/>
      <w:lvlJc w:val="left"/>
      <w:pPr>
        <w:ind w:left="720" w:hanging="360"/>
      </w:pPr>
      <w:rPr>
        <w:rFonts w:ascii="Symbol" w:hAnsi="Symbol" w:hint="default"/>
      </w:rPr>
    </w:lvl>
    <w:lvl w:ilvl="1" w:tplc="2B3A9FC8">
      <w:start w:val="1"/>
      <w:numFmt w:val="bullet"/>
      <w:lvlText w:val="o"/>
      <w:lvlJc w:val="left"/>
      <w:pPr>
        <w:ind w:left="1440" w:hanging="360"/>
      </w:pPr>
      <w:rPr>
        <w:rFonts w:ascii="Courier New" w:hAnsi="Courier New" w:hint="default"/>
      </w:rPr>
    </w:lvl>
    <w:lvl w:ilvl="2" w:tplc="4C06E9BA">
      <w:start w:val="1"/>
      <w:numFmt w:val="bullet"/>
      <w:lvlText w:val=""/>
      <w:lvlJc w:val="left"/>
      <w:pPr>
        <w:ind w:left="2160" w:hanging="360"/>
      </w:pPr>
      <w:rPr>
        <w:rFonts w:ascii="Wingdings" w:hAnsi="Wingdings" w:hint="default"/>
      </w:rPr>
    </w:lvl>
    <w:lvl w:ilvl="3" w:tplc="2248AD50">
      <w:start w:val="1"/>
      <w:numFmt w:val="bullet"/>
      <w:lvlText w:val=""/>
      <w:lvlJc w:val="left"/>
      <w:pPr>
        <w:ind w:left="2880" w:hanging="360"/>
      </w:pPr>
      <w:rPr>
        <w:rFonts w:ascii="Symbol" w:hAnsi="Symbol" w:hint="default"/>
      </w:rPr>
    </w:lvl>
    <w:lvl w:ilvl="4" w:tplc="7356059C">
      <w:start w:val="1"/>
      <w:numFmt w:val="bullet"/>
      <w:lvlText w:val="o"/>
      <w:lvlJc w:val="left"/>
      <w:pPr>
        <w:ind w:left="3600" w:hanging="360"/>
      </w:pPr>
      <w:rPr>
        <w:rFonts w:ascii="Courier New" w:hAnsi="Courier New" w:hint="default"/>
      </w:rPr>
    </w:lvl>
    <w:lvl w:ilvl="5" w:tplc="73B0C462">
      <w:start w:val="1"/>
      <w:numFmt w:val="bullet"/>
      <w:lvlText w:val=""/>
      <w:lvlJc w:val="left"/>
      <w:pPr>
        <w:ind w:left="4320" w:hanging="360"/>
      </w:pPr>
      <w:rPr>
        <w:rFonts w:ascii="Wingdings" w:hAnsi="Wingdings" w:hint="default"/>
      </w:rPr>
    </w:lvl>
    <w:lvl w:ilvl="6" w:tplc="54CA31EC">
      <w:start w:val="1"/>
      <w:numFmt w:val="bullet"/>
      <w:lvlText w:val=""/>
      <w:lvlJc w:val="left"/>
      <w:pPr>
        <w:ind w:left="5040" w:hanging="360"/>
      </w:pPr>
      <w:rPr>
        <w:rFonts w:ascii="Symbol" w:hAnsi="Symbol" w:hint="default"/>
      </w:rPr>
    </w:lvl>
    <w:lvl w:ilvl="7" w:tplc="9C56085C">
      <w:start w:val="1"/>
      <w:numFmt w:val="bullet"/>
      <w:lvlText w:val="o"/>
      <w:lvlJc w:val="left"/>
      <w:pPr>
        <w:ind w:left="5760" w:hanging="360"/>
      </w:pPr>
      <w:rPr>
        <w:rFonts w:ascii="Courier New" w:hAnsi="Courier New" w:hint="default"/>
      </w:rPr>
    </w:lvl>
    <w:lvl w:ilvl="8" w:tplc="1B4EC77A">
      <w:start w:val="1"/>
      <w:numFmt w:val="bullet"/>
      <w:lvlText w:val=""/>
      <w:lvlJc w:val="left"/>
      <w:pPr>
        <w:ind w:left="6480" w:hanging="360"/>
      </w:pPr>
      <w:rPr>
        <w:rFonts w:ascii="Wingdings" w:hAnsi="Wingdings" w:hint="default"/>
      </w:rPr>
    </w:lvl>
  </w:abstractNum>
  <w:abstractNum w:abstractNumId="8" w15:restartNumberingAfterBreak="0">
    <w:nsid w:val="2FBA2C59"/>
    <w:multiLevelType w:val="hybridMultilevel"/>
    <w:tmpl w:val="069007A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3A772189"/>
    <w:multiLevelType w:val="hybridMultilevel"/>
    <w:tmpl w:val="8182C374"/>
    <w:lvl w:ilvl="0" w:tplc="E350F676">
      <w:start w:val="1"/>
      <w:numFmt w:val="bullet"/>
      <w:lvlText w:val=""/>
      <w:lvlJc w:val="left"/>
      <w:pPr>
        <w:ind w:left="753" w:hanging="360"/>
      </w:pPr>
      <w:rPr>
        <w:rFonts w:ascii="Symbol" w:hAnsi="Symbol" w:hint="default"/>
      </w:rPr>
    </w:lvl>
    <w:lvl w:ilvl="1" w:tplc="04260003" w:tentative="1">
      <w:start w:val="1"/>
      <w:numFmt w:val="bullet"/>
      <w:lvlText w:val="o"/>
      <w:lvlJc w:val="left"/>
      <w:pPr>
        <w:ind w:left="1473" w:hanging="360"/>
      </w:pPr>
      <w:rPr>
        <w:rFonts w:ascii="Courier New" w:hAnsi="Courier New" w:cs="Courier New" w:hint="default"/>
      </w:rPr>
    </w:lvl>
    <w:lvl w:ilvl="2" w:tplc="04260005" w:tentative="1">
      <w:start w:val="1"/>
      <w:numFmt w:val="bullet"/>
      <w:lvlText w:val=""/>
      <w:lvlJc w:val="left"/>
      <w:pPr>
        <w:ind w:left="2193" w:hanging="360"/>
      </w:pPr>
      <w:rPr>
        <w:rFonts w:ascii="Wingdings" w:hAnsi="Wingdings" w:hint="default"/>
      </w:rPr>
    </w:lvl>
    <w:lvl w:ilvl="3" w:tplc="04260001" w:tentative="1">
      <w:start w:val="1"/>
      <w:numFmt w:val="bullet"/>
      <w:lvlText w:val=""/>
      <w:lvlJc w:val="left"/>
      <w:pPr>
        <w:ind w:left="2913" w:hanging="360"/>
      </w:pPr>
      <w:rPr>
        <w:rFonts w:ascii="Symbol" w:hAnsi="Symbol" w:hint="default"/>
      </w:rPr>
    </w:lvl>
    <w:lvl w:ilvl="4" w:tplc="04260003" w:tentative="1">
      <w:start w:val="1"/>
      <w:numFmt w:val="bullet"/>
      <w:lvlText w:val="o"/>
      <w:lvlJc w:val="left"/>
      <w:pPr>
        <w:ind w:left="3633" w:hanging="360"/>
      </w:pPr>
      <w:rPr>
        <w:rFonts w:ascii="Courier New" w:hAnsi="Courier New" w:cs="Courier New" w:hint="default"/>
      </w:rPr>
    </w:lvl>
    <w:lvl w:ilvl="5" w:tplc="04260005" w:tentative="1">
      <w:start w:val="1"/>
      <w:numFmt w:val="bullet"/>
      <w:lvlText w:val=""/>
      <w:lvlJc w:val="left"/>
      <w:pPr>
        <w:ind w:left="4353" w:hanging="360"/>
      </w:pPr>
      <w:rPr>
        <w:rFonts w:ascii="Wingdings" w:hAnsi="Wingdings" w:hint="default"/>
      </w:rPr>
    </w:lvl>
    <w:lvl w:ilvl="6" w:tplc="04260001" w:tentative="1">
      <w:start w:val="1"/>
      <w:numFmt w:val="bullet"/>
      <w:lvlText w:val=""/>
      <w:lvlJc w:val="left"/>
      <w:pPr>
        <w:ind w:left="5073" w:hanging="360"/>
      </w:pPr>
      <w:rPr>
        <w:rFonts w:ascii="Symbol" w:hAnsi="Symbol" w:hint="default"/>
      </w:rPr>
    </w:lvl>
    <w:lvl w:ilvl="7" w:tplc="04260003" w:tentative="1">
      <w:start w:val="1"/>
      <w:numFmt w:val="bullet"/>
      <w:lvlText w:val="o"/>
      <w:lvlJc w:val="left"/>
      <w:pPr>
        <w:ind w:left="5793" w:hanging="360"/>
      </w:pPr>
      <w:rPr>
        <w:rFonts w:ascii="Courier New" w:hAnsi="Courier New" w:cs="Courier New" w:hint="default"/>
      </w:rPr>
    </w:lvl>
    <w:lvl w:ilvl="8" w:tplc="04260005" w:tentative="1">
      <w:start w:val="1"/>
      <w:numFmt w:val="bullet"/>
      <w:lvlText w:val=""/>
      <w:lvlJc w:val="left"/>
      <w:pPr>
        <w:ind w:left="6513" w:hanging="360"/>
      </w:pPr>
      <w:rPr>
        <w:rFonts w:ascii="Wingdings" w:hAnsi="Wingdings" w:hint="default"/>
      </w:rPr>
    </w:lvl>
  </w:abstractNum>
  <w:abstractNum w:abstractNumId="10" w15:restartNumberingAfterBreak="0">
    <w:nsid w:val="4219693E"/>
    <w:multiLevelType w:val="hybridMultilevel"/>
    <w:tmpl w:val="665A21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2" w15:restartNumberingAfterBreak="0">
    <w:nsid w:val="56DB6377"/>
    <w:multiLevelType w:val="multilevel"/>
    <w:tmpl w:val="2BB07C08"/>
    <w:lvl w:ilvl="0">
      <w:start w:val="1"/>
      <w:numFmt w:val="decimal"/>
      <w:lvlText w:val="%1."/>
      <w:lvlJc w:val="left"/>
      <w:pPr>
        <w:ind w:left="1070" w:hanging="360"/>
      </w:pPr>
      <w:rPr>
        <w:rFonts w:hint="default"/>
        <w:b w:val="0"/>
        <w:bCs w:val="0"/>
        <w:i w:val="0"/>
        <w:iCs w:val="0"/>
        <w:sz w:val="28"/>
        <w:szCs w:val="28"/>
      </w:rPr>
    </w:lvl>
    <w:lvl w:ilvl="1">
      <w:start w:val="1"/>
      <w:numFmt w:val="decimal"/>
      <w:isLgl/>
      <w:lvlText w:val="%1.%2."/>
      <w:lvlJc w:val="left"/>
      <w:pPr>
        <w:ind w:left="1789" w:hanging="720"/>
      </w:pPr>
      <w:rPr>
        <w:rFonts w:hint="default"/>
        <w:b w:val="0"/>
        <w:bCs w:val="0"/>
        <w:i w:val="0"/>
        <w:iCs w:val="0"/>
      </w:rPr>
    </w:lvl>
    <w:lvl w:ilvl="2">
      <w:start w:val="1"/>
      <w:numFmt w:val="decimal"/>
      <w:isLgl/>
      <w:lvlText w:val="%1.%2.%3."/>
      <w:lvlJc w:val="left"/>
      <w:pPr>
        <w:ind w:left="2149" w:hanging="720"/>
      </w:pPr>
      <w:rPr>
        <w:rFonts w:hint="default"/>
        <w:b w:val="0"/>
        <w:bCs w:val="0"/>
        <w:color w:val="auto"/>
      </w:rPr>
    </w:lvl>
    <w:lvl w:ilvl="3">
      <w:start w:val="1"/>
      <w:numFmt w:val="decimal"/>
      <w:isLgl/>
      <w:lvlText w:val="%1.%2.%3.%4."/>
      <w:lvlJc w:val="left"/>
      <w:pPr>
        <w:ind w:left="2869" w:hanging="1080"/>
      </w:pPr>
      <w:rPr>
        <w:rFonts w:hint="default"/>
      </w:rPr>
    </w:lvl>
    <w:lvl w:ilvl="4">
      <w:start w:val="1"/>
      <w:numFmt w:val="decimal"/>
      <w:isLgl/>
      <w:lvlText w:val="%1.%2.%3.%4.%5."/>
      <w:lvlJc w:val="left"/>
      <w:pPr>
        <w:ind w:left="4058"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3" w15:restartNumberingAfterBreak="0">
    <w:nsid w:val="58492047"/>
    <w:multiLevelType w:val="hybridMultilevel"/>
    <w:tmpl w:val="246A7994"/>
    <w:lvl w:ilvl="0" w:tplc="FAF092D2">
      <w:numFmt w:val="bullet"/>
      <w:lvlText w:val="-"/>
      <w:lvlJc w:val="left"/>
      <w:pPr>
        <w:ind w:left="720" w:hanging="360"/>
      </w:pPr>
      <w:rPr>
        <w:rFonts w:ascii="Times New Roman" w:eastAsiaTheme="minorEastAsia"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6E225C16"/>
    <w:multiLevelType w:val="hybridMultilevel"/>
    <w:tmpl w:val="EDDA60B0"/>
    <w:lvl w:ilvl="0" w:tplc="DB084A3E">
      <w:start w:val="1"/>
      <w:numFmt w:val="bullet"/>
      <w:lvlText w:val="·"/>
      <w:lvlJc w:val="left"/>
      <w:pPr>
        <w:ind w:left="720" w:hanging="360"/>
      </w:pPr>
      <w:rPr>
        <w:rFonts w:ascii="Symbol" w:hAnsi="Symbol" w:hint="default"/>
      </w:rPr>
    </w:lvl>
    <w:lvl w:ilvl="1" w:tplc="7B48175C">
      <w:start w:val="1"/>
      <w:numFmt w:val="bullet"/>
      <w:lvlText w:val="o"/>
      <w:lvlJc w:val="left"/>
      <w:pPr>
        <w:ind w:left="1440" w:hanging="360"/>
      </w:pPr>
      <w:rPr>
        <w:rFonts w:ascii="Courier New" w:hAnsi="Courier New" w:hint="default"/>
      </w:rPr>
    </w:lvl>
    <w:lvl w:ilvl="2" w:tplc="A984DBBE">
      <w:start w:val="1"/>
      <w:numFmt w:val="bullet"/>
      <w:lvlText w:val=""/>
      <w:lvlJc w:val="left"/>
      <w:pPr>
        <w:ind w:left="2160" w:hanging="360"/>
      </w:pPr>
      <w:rPr>
        <w:rFonts w:ascii="Wingdings" w:hAnsi="Wingdings" w:hint="default"/>
      </w:rPr>
    </w:lvl>
    <w:lvl w:ilvl="3" w:tplc="93384654">
      <w:start w:val="1"/>
      <w:numFmt w:val="bullet"/>
      <w:lvlText w:val=""/>
      <w:lvlJc w:val="left"/>
      <w:pPr>
        <w:ind w:left="2880" w:hanging="360"/>
      </w:pPr>
      <w:rPr>
        <w:rFonts w:ascii="Symbol" w:hAnsi="Symbol" w:hint="default"/>
      </w:rPr>
    </w:lvl>
    <w:lvl w:ilvl="4" w:tplc="89109A40">
      <w:start w:val="1"/>
      <w:numFmt w:val="bullet"/>
      <w:lvlText w:val="o"/>
      <w:lvlJc w:val="left"/>
      <w:pPr>
        <w:ind w:left="3600" w:hanging="360"/>
      </w:pPr>
      <w:rPr>
        <w:rFonts w:ascii="Courier New" w:hAnsi="Courier New" w:hint="default"/>
      </w:rPr>
    </w:lvl>
    <w:lvl w:ilvl="5" w:tplc="1DA45F1E">
      <w:start w:val="1"/>
      <w:numFmt w:val="bullet"/>
      <w:lvlText w:val=""/>
      <w:lvlJc w:val="left"/>
      <w:pPr>
        <w:ind w:left="4320" w:hanging="360"/>
      </w:pPr>
      <w:rPr>
        <w:rFonts w:ascii="Wingdings" w:hAnsi="Wingdings" w:hint="default"/>
      </w:rPr>
    </w:lvl>
    <w:lvl w:ilvl="6" w:tplc="6B7037A2">
      <w:start w:val="1"/>
      <w:numFmt w:val="bullet"/>
      <w:lvlText w:val=""/>
      <w:lvlJc w:val="left"/>
      <w:pPr>
        <w:ind w:left="5040" w:hanging="360"/>
      </w:pPr>
      <w:rPr>
        <w:rFonts w:ascii="Symbol" w:hAnsi="Symbol" w:hint="default"/>
      </w:rPr>
    </w:lvl>
    <w:lvl w:ilvl="7" w:tplc="B2866F74">
      <w:start w:val="1"/>
      <w:numFmt w:val="bullet"/>
      <w:lvlText w:val="o"/>
      <w:lvlJc w:val="left"/>
      <w:pPr>
        <w:ind w:left="5760" w:hanging="360"/>
      </w:pPr>
      <w:rPr>
        <w:rFonts w:ascii="Courier New" w:hAnsi="Courier New" w:hint="default"/>
      </w:rPr>
    </w:lvl>
    <w:lvl w:ilvl="8" w:tplc="33768B66">
      <w:start w:val="1"/>
      <w:numFmt w:val="bullet"/>
      <w:lvlText w:val=""/>
      <w:lvlJc w:val="left"/>
      <w:pPr>
        <w:ind w:left="6480" w:hanging="360"/>
      </w:pPr>
      <w:rPr>
        <w:rFonts w:ascii="Wingdings" w:hAnsi="Wingdings" w:hint="default"/>
      </w:rPr>
    </w:lvl>
  </w:abstractNum>
  <w:abstractNum w:abstractNumId="15"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16"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abstractNum w:abstractNumId="17" w15:restartNumberingAfterBreak="0">
    <w:nsid w:val="7E804E43"/>
    <w:multiLevelType w:val="hybridMultilevel"/>
    <w:tmpl w:val="7174C9A8"/>
    <w:lvl w:ilvl="0" w:tplc="D8886386">
      <w:start w:val="1"/>
      <w:numFmt w:val="bullet"/>
      <w:lvlText w:val="•"/>
      <w:lvlJc w:val="left"/>
      <w:pPr>
        <w:tabs>
          <w:tab w:val="num" w:pos="720"/>
        </w:tabs>
        <w:ind w:left="720" w:hanging="360"/>
      </w:pPr>
      <w:rPr>
        <w:rFonts w:ascii="Arial" w:hAnsi="Arial" w:hint="default"/>
      </w:rPr>
    </w:lvl>
    <w:lvl w:ilvl="1" w:tplc="81507FD4" w:tentative="1">
      <w:start w:val="1"/>
      <w:numFmt w:val="bullet"/>
      <w:lvlText w:val="•"/>
      <w:lvlJc w:val="left"/>
      <w:pPr>
        <w:tabs>
          <w:tab w:val="num" w:pos="1440"/>
        </w:tabs>
        <w:ind w:left="1440" w:hanging="360"/>
      </w:pPr>
      <w:rPr>
        <w:rFonts w:ascii="Arial" w:hAnsi="Arial" w:hint="default"/>
      </w:rPr>
    </w:lvl>
    <w:lvl w:ilvl="2" w:tplc="5C06BD88" w:tentative="1">
      <w:start w:val="1"/>
      <w:numFmt w:val="bullet"/>
      <w:lvlText w:val="•"/>
      <w:lvlJc w:val="left"/>
      <w:pPr>
        <w:tabs>
          <w:tab w:val="num" w:pos="2160"/>
        </w:tabs>
        <w:ind w:left="2160" w:hanging="360"/>
      </w:pPr>
      <w:rPr>
        <w:rFonts w:ascii="Arial" w:hAnsi="Arial" w:hint="default"/>
      </w:rPr>
    </w:lvl>
    <w:lvl w:ilvl="3" w:tplc="83DE3EE4" w:tentative="1">
      <w:start w:val="1"/>
      <w:numFmt w:val="bullet"/>
      <w:lvlText w:val="•"/>
      <w:lvlJc w:val="left"/>
      <w:pPr>
        <w:tabs>
          <w:tab w:val="num" w:pos="2880"/>
        </w:tabs>
        <w:ind w:left="2880" w:hanging="360"/>
      </w:pPr>
      <w:rPr>
        <w:rFonts w:ascii="Arial" w:hAnsi="Arial" w:hint="default"/>
      </w:rPr>
    </w:lvl>
    <w:lvl w:ilvl="4" w:tplc="38B01BE4" w:tentative="1">
      <w:start w:val="1"/>
      <w:numFmt w:val="bullet"/>
      <w:lvlText w:val="•"/>
      <w:lvlJc w:val="left"/>
      <w:pPr>
        <w:tabs>
          <w:tab w:val="num" w:pos="3600"/>
        </w:tabs>
        <w:ind w:left="3600" w:hanging="360"/>
      </w:pPr>
      <w:rPr>
        <w:rFonts w:ascii="Arial" w:hAnsi="Arial" w:hint="default"/>
      </w:rPr>
    </w:lvl>
    <w:lvl w:ilvl="5" w:tplc="6C904084" w:tentative="1">
      <w:start w:val="1"/>
      <w:numFmt w:val="bullet"/>
      <w:lvlText w:val="•"/>
      <w:lvlJc w:val="left"/>
      <w:pPr>
        <w:tabs>
          <w:tab w:val="num" w:pos="4320"/>
        </w:tabs>
        <w:ind w:left="4320" w:hanging="360"/>
      </w:pPr>
      <w:rPr>
        <w:rFonts w:ascii="Arial" w:hAnsi="Arial" w:hint="default"/>
      </w:rPr>
    </w:lvl>
    <w:lvl w:ilvl="6" w:tplc="596032B8" w:tentative="1">
      <w:start w:val="1"/>
      <w:numFmt w:val="bullet"/>
      <w:lvlText w:val="•"/>
      <w:lvlJc w:val="left"/>
      <w:pPr>
        <w:tabs>
          <w:tab w:val="num" w:pos="5040"/>
        </w:tabs>
        <w:ind w:left="5040" w:hanging="360"/>
      </w:pPr>
      <w:rPr>
        <w:rFonts w:ascii="Arial" w:hAnsi="Arial" w:hint="default"/>
      </w:rPr>
    </w:lvl>
    <w:lvl w:ilvl="7" w:tplc="1A22EC72" w:tentative="1">
      <w:start w:val="1"/>
      <w:numFmt w:val="bullet"/>
      <w:lvlText w:val="•"/>
      <w:lvlJc w:val="left"/>
      <w:pPr>
        <w:tabs>
          <w:tab w:val="num" w:pos="5760"/>
        </w:tabs>
        <w:ind w:left="5760" w:hanging="360"/>
      </w:pPr>
      <w:rPr>
        <w:rFonts w:ascii="Arial" w:hAnsi="Arial" w:hint="default"/>
      </w:rPr>
    </w:lvl>
    <w:lvl w:ilvl="8" w:tplc="56960BB4" w:tentative="1">
      <w:start w:val="1"/>
      <w:numFmt w:val="bullet"/>
      <w:lvlText w:val="•"/>
      <w:lvlJc w:val="left"/>
      <w:pPr>
        <w:tabs>
          <w:tab w:val="num" w:pos="6480"/>
        </w:tabs>
        <w:ind w:left="6480" w:hanging="360"/>
      </w:pPr>
      <w:rPr>
        <w:rFonts w:ascii="Arial" w:hAnsi="Arial" w:hint="default"/>
      </w:rPr>
    </w:lvl>
  </w:abstractNum>
  <w:num w:numId="1" w16cid:durableId="369964291">
    <w:abstractNumId w:val="7"/>
  </w:num>
  <w:num w:numId="2" w16cid:durableId="1601599740">
    <w:abstractNumId w:val="15"/>
  </w:num>
  <w:num w:numId="3" w16cid:durableId="1770076365">
    <w:abstractNumId w:val="11"/>
  </w:num>
  <w:num w:numId="4" w16cid:durableId="2084912053">
    <w:abstractNumId w:val="1"/>
  </w:num>
  <w:num w:numId="5" w16cid:durableId="680591685">
    <w:abstractNumId w:val="16"/>
  </w:num>
  <w:num w:numId="6" w16cid:durableId="2063215548">
    <w:abstractNumId w:val="9"/>
  </w:num>
  <w:num w:numId="7" w16cid:durableId="991714868">
    <w:abstractNumId w:val="12"/>
  </w:num>
  <w:num w:numId="8" w16cid:durableId="994264974">
    <w:abstractNumId w:val="2"/>
  </w:num>
  <w:num w:numId="9" w16cid:durableId="1436095616">
    <w:abstractNumId w:val="6"/>
  </w:num>
  <w:num w:numId="10" w16cid:durableId="1830559402">
    <w:abstractNumId w:val="5"/>
  </w:num>
  <w:num w:numId="11" w16cid:durableId="312292012">
    <w:abstractNumId w:val="10"/>
  </w:num>
  <w:num w:numId="12" w16cid:durableId="742607331">
    <w:abstractNumId w:val="4"/>
  </w:num>
  <w:num w:numId="13" w16cid:durableId="676351463">
    <w:abstractNumId w:val="8"/>
  </w:num>
  <w:num w:numId="14" w16cid:durableId="1939169089">
    <w:abstractNumId w:val="3"/>
  </w:num>
  <w:num w:numId="15" w16cid:durableId="1112751241">
    <w:abstractNumId w:val="5"/>
  </w:num>
  <w:num w:numId="16" w16cid:durableId="2068141513">
    <w:abstractNumId w:val="14"/>
  </w:num>
  <w:num w:numId="17" w16cid:durableId="355735112">
    <w:abstractNumId w:val="17"/>
  </w:num>
  <w:num w:numId="18" w16cid:durableId="750739976">
    <w:abstractNumId w:val="0"/>
  </w:num>
  <w:num w:numId="19" w16cid:durableId="18532594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118D9"/>
    <w:rsid w:val="000559E4"/>
    <w:rsid w:val="00073A1C"/>
    <w:rsid w:val="00080F2B"/>
    <w:rsid w:val="0009123C"/>
    <w:rsid w:val="000A57E1"/>
    <w:rsid w:val="000B088B"/>
    <w:rsid w:val="000B1152"/>
    <w:rsid w:val="000C154C"/>
    <w:rsid w:val="000C5A07"/>
    <w:rsid w:val="000D31E9"/>
    <w:rsid w:val="000D4AF1"/>
    <w:rsid w:val="000F1BCD"/>
    <w:rsid w:val="00104DAB"/>
    <w:rsid w:val="001219DF"/>
    <w:rsid w:val="001254BF"/>
    <w:rsid w:val="001307AB"/>
    <w:rsid w:val="0017110C"/>
    <w:rsid w:val="00183FDB"/>
    <w:rsid w:val="00184897"/>
    <w:rsid w:val="00185F04"/>
    <w:rsid w:val="0019035E"/>
    <w:rsid w:val="00190566"/>
    <w:rsid w:val="001A2C23"/>
    <w:rsid w:val="001A42F1"/>
    <w:rsid w:val="001A7F09"/>
    <w:rsid w:val="001E0CC2"/>
    <w:rsid w:val="001F6B6D"/>
    <w:rsid w:val="00203561"/>
    <w:rsid w:val="00203AEC"/>
    <w:rsid w:val="00206211"/>
    <w:rsid w:val="00225541"/>
    <w:rsid w:val="00234D85"/>
    <w:rsid w:val="0023527F"/>
    <w:rsid w:val="00251F86"/>
    <w:rsid w:val="00252E9D"/>
    <w:rsid w:val="002721F1"/>
    <w:rsid w:val="002731CF"/>
    <w:rsid w:val="00280940"/>
    <w:rsid w:val="00295561"/>
    <w:rsid w:val="002B1570"/>
    <w:rsid w:val="002B2507"/>
    <w:rsid w:val="002C375B"/>
    <w:rsid w:val="002D1580"/>
    <w:rsid w:val="002E0D8D"/>
    <w:rsid w:val="002E1D17"/>
    <w:rsid w:val="002E36EE"/>
    <w:rsid w:val="002E5CCF"/>
    <w:rsid w:val="002E6A87"/>
    <w:rsid w:val="002F2950"/>
    <w:rsid w:val="00302A1F"/>
    <w:rsid w:val="00303ED7"/>
    <w:rsid w:val="003062B1"/>
    <w:rsid w:val="00307FB1"/>
    <w:rsid w:val="00326DB7"/>
    <w:rsid w:val="00326E2A"/>
    <w:rsid w:val="00334E62"/>
    <w:rsid w:val="00336337"/>
    <w:rsid w:val="0035443F"/>
    <w:rsid w:val="00383827"/>
    <w:rsid w:val="003845E7"/>
    <w:rsid w:val="0039158F"/>
    <w:rsid w:val="00392212"/>
    <w:rsid w:val="00397B02"/>
    <w:rsid w:val="003A178A"/>
    <w:rsid w:val="003A1896"/>
    <w:rsid w:val="003A317E"/>
    <w:rsid w:val="003A4246"/>
    <w:rsid w:val="003D3BA2"/>
    <w:rsid w:val="003D7131"/>
    <w:rsid w:val="003E165E"/>
    <w:rsid w:val="003E3158"/>
    <w:rsid w:val="003F05F7"/>
    <w:rsid w:val="003F068C"/>
    <w:rsid w:val="003F11FC"/>
    <w:rsid w:val="003F1819"/>
    <w:rsid w:val="00401097"/>
    <w:rsid w:val="0040592A"/>
    <w:rsid w:val="00413C15"/>
    <w:rsid w:val="004145CF"/>
    <w:rsid w:val="0041598F"/>
    <w:rsid w:val="00417867"/>
    <w:rsid w:val="00424A02"/>
    <w:rsid w:val="004263C1"/>
    <w:rsid w:val="00447C28"/>
    <w:rsid w:val="004525A8"/>
    <w:rsid w:val="00470EE6"/>
    <w:rsid w:val="0049677F"/>
    <w:rsid w:val="00497E28"/>
    <w:rsid w:val="004A2FC4"/>
    <w:rsid w:val="004A48C3"/>
    <w:rsid w:val="004B1F27"/>
    <w:rsid w:val="004C516B"/>
    <w:rsid w:val="004D41AE"/>
    <w:rsid w:val="004D5B4D"/>
    <w:rsid w:val="004E5B06"/>
    <w:rsid w:val="004F1E6D"/>
    <w:rsid w:val="004F2B95"/>
    <w:rsid w:val="00500349"/>
    <w:rsid w:val="00502625"/>
    <w:rsid w:val="00505535"/>
    <w:rsid w:val="005061C8"/>
    <w:rsid w:val="00517F4A"/>
    <w:rsid w:val="00543113"/>
    <w:rsid w:val="00546295"/>
    <w:rsid w:val="0056622E"/>
    <w:rsid w:val="00566B0C"/>
    <w:rsid w:val="00596B16"/>
    <w:rsid w:val="005B439F"/>
    <w:rsid w:val="005C6677"/>
    <w:rsid w:val="005D6213"/>
    <w:rsid w:val="005F1505"/>
    <w:rsid w:val="005F272D"/>
    <w:rsid w:val="005F49ED"/>
    <w:rsid w:val="005F4A45"/>
    <w:rsid w:val="00605882"/>
    <w:rsid w:val="00626FA2"/>
    <w:rsid w:val="00640B75"/>
    <w:rsid w:val="00644C2A"/>
    <w:rsid w:val="0068581A"/>
    <w:rsid w:val="0068587E"/>
    <w:rsid w:val="00691A5F"/>
    <w:rsid w:val="006A10CF"/>
    <w:rsid w:val="006E76D3"/>
    <w:rsid w:val="00717D1A"/>
    <w:rsid w:val="007342A5"/>
    <w:rsid w:val="00755358"/>
    <w:rsid w:val="007758CB"/>
    <w:rsid w:val="00792DFD"/>
    <w:rsid w:val="007A07F4"/>
    <w:rsid w:val="007A56C8"/>
    <w:rsid w:val="007A59AE"/>
    <w:rsid w:val="007B2C35"/>
    <w:rsid w:val="007B2D50"/>
    <w:rsid w:val="007E14B0"/>
    <w:rsid w:val="007E1C7E"/>
    <w:rsid w:val="007F05A4"/>
    <w:rsid w:val="008047E5"/>
    <w:rsid w:val="00815BF8"/>
    <w:rsid w:val="00823B85"/>
    <w:rsid w:val="00846B49"/>
    <w:rsid w:val="0085663E"/>
    <w:rsid w:val="0086114D"/>
    <w:rsid w:val="00872E0C"/>
    <w:rsid w:val="00873A45"/>
    <w:rsid w:val="00890681"/>
    <w:rsid w:val="00892C6F"/>
    <w:rsid w:val="00894527"/>
    <w:rsid w:val="00894A46"/>
    <w:rsid w:val="00896976"/>
    <w:rsid w:val="00906D46"/>
    <w:rsid w:val="009100D0"/>
    <w:rsid w:val="009241BF"/>
    <w:rsid w:val="009342AA"/>
    <w:rsid w:val="00946B90"/>
    <w:rsid w:val="00956524"/>
    <w:rsid w:val="00964036"/>
    <w:rsid w:val="009670BB"/>
    <w:rsid w:val="009678FB"/>
    <w:rsid w:val="009A377D"/>
    <w:rsid w:val="009A5D86"/>
    <w:rsid w:val="009A6E98"/>
    <w:rsid w:val="009A78B3"/>
    <w:rsid w:val="009B060E"/>
    <w:rsid w:val="009C03C6"/>
    <w:rsid w:val="009F7E61"/>
    <w:rsid w:val="00A023FC"/>
    <w:rsid w:val="00A04FC6"/>
    <w:rsid w:val="00A14CBB"/>
    <w:rsid w:val="00A15337"/>
    <w:rsid w:val="00A220DF"/>
    <w:rsid w:val="00A25E52"/>
    <w:rsid w:val="00A51983"/>
    <w:rsid w:val="00A77916"/>
    <w:rsid w:val="00A90A26"/>
    <w:rsid w:val="00AA05F6"/>
    <w:rsid w:val="00AA28C1"/>
    <w:rsid w:val="00AB174E"/>
    <w:rsid w:val="00AC65B8"/>
    <w:rsid w:val="00AD7A4D"/>
    <w:rsid w:val="00AE15E3"/>
    <w:rsid w:val="00AE321F"/>
    <w:rsid w:val="00AF1A1B"/>
    <w:rsid w:val="00AF6280"/>
    <w:rsid w:val="00B01158"/>
    <w:rsid w:val="00B03DB2"/>
    <w:rsid w:val="00B131EF"/>
    <w:rsid w:val="00B27ED9"/>
    <w:rsid w:val="00B3140F"/>
    <w:rsid w:val="00B327F9"/>
    <w:rsid w:val="00B33E39"/>
    <w:rsid w:val="00B36E52"/>
    <w:rsid w:val="00B4623C"/>
    <w:rsid w:val="00B74C68"/>
    <w:rsid w:val="00B77FC8"/>
    <w:rsid w:val="00B8BBA1"/>
    <w:rsid w:val="00B978B3"/>
    <w:rsid w:val="00BA1042"/>
    <w:rsid w:val="00BA4678"/>
    <w:rsid w:val="00BA7802"/>
    <w:rsid w:val="00BB31AE"/>
    <w:rsid w:val="00BC6BAB"/>
    <w:rsid w:val="00BD52C4"/>
    <w:rsid w:val="00BD580F"/>
    <w:rsid w:val="00BE098B"/>
    <w:rsid w:val="00BE3EE7"/>
    <w:rsid w:val="00BE7EE4"/>
    <w:rsid w:val="00BF73B4"/>
    <w:rsid w:val="00C036B2"/>
    <w:rsid w:val="00C06662"/>
    <w:rsid w:val="00C265B3"/>
    <w:rsid w:val="00C3061E"/>
    <w:rsid w:val="00C32F2A"/>
    <w:rsid w:val="00C34B84"/>
    <w:rsid w:val="00C34CBD"/>
    <w:rsid w:val="00C41149"/>
    <w:rsid w:val="00C62156"/>
    <w:rsid w:val="00C71613"/>
    <w:rsid w:val="00C7388B"/>
    <w:rsid w:val="00C75443"/>
    <w:rsid w:val="00C76407"/>
    <w:rsid w:val="00C85AA1"/>
    <w:rsid w:val="00CBA2D7"/>
    <w:rsid w:val="00CC13DD"/>
    <w:rsid w:val="00CC1FC5"/>
    <w:rsid w:val="00CE2811"/>
    <w:rsid w:val="00CF55CF"/>
    <w:rsid w:val="00D01348"/>
    <w:rsid w:val="00D058A3"/>
    <w:rsid w:val="00D26B5E"/>
    <w:rsid w:val="00D27DB8"/>
    <w:rsid w:val="00D5405C"/>
    <w:rsid w:val="00D75A06"/>
    <w:rsid w:val="00D85D80"/>
    <w:rsid w:val="00D904D0"/>
    <w:rsid w:val="00D929BE"/>
    <w:rsid w:val="00DA4C76"/>
    <w:rsid w:val="00DB0D12"/>
    <w:rsid w:val="00DB7611"/>
    <w:rsid w:val="00DD0A91"/>
    <w:rsid w:val="00DD35DE"/>
    <w:rsid w:val="00DD6E12"/>
    <w:rsid w:val="00DD77BC"/>
    <w:rsid w:val="00DE6B4B"/>
    <w:rsid w:val="00DF7845"/>
    <w:rsid w:val="00DF78AE"/>
    <w:rsid w:val="00E11CDA"/>
    <w:rsid w:val="00E120F2"/>
    <w:rsid w:val="00E17826"/>
    <w:rsid w:val="00E30DAA"/>
    <w:rsid w:val="00E437C2"/>
    <w:rsid w:val="00E503FD"/>
    <w:rsid w:val="00E57F7C"/>
    <w:rsid w:val="00E600F3"/>
    <w:rsid w:val="00E60753"/>
    <w:rsid w:val="00E754BB"/>
    <w:rsid w:val="00E93061"/>
    <w:rsid w:val="00E9666B"/>
    <w:rsid w:val="00EB5D99"/>
    <w:rsid w:val="00EC03F1"/>
    <w:rsid w:val="00EC4ACF"/>
    <w:rsid w:val="00ED3D21"/>
    <w:rsid w:val="00ED64B9"/>
    <w:rsid w:val="00EE7B73"/>
    <w:rsid w:val="00EEED59"/>
    <w:rsid w:val="00EF0D82"/>
    <w:rsid w:val="00EF22F5"/>
    <w:rsid w:val="00F213E1"/>
    <w:rsid w:val="00F33E14"/>
    <w:rsid w:val="00F348AA"/>
    <w:rsid w:val="00F51665"/>
    <w:rsid w:val="00F56F56"/>
    <w:rsid w:val="00F7059C"/>
    <w:rsid w:val="00F8129C"/>
    <w:rsid w:val="00F83BE1"/>
    <w:rsid w:val="00FA0C04"/>
    <w:rsid w:val="00FA77BA"/>
    <w:rsid w:val="00FC7A10"/>
    <w:rsid w:val="00FD6913"/>
    <w:rsid w:val="00FE2AF9"/>
    <w:rsid w:val="00FF2BEF"/>
    <w:rsid w:val="01CD0D65"/>
    <w:rsid w:val="04270958"/>
    <w:rsid w:val="050A6EA1"/>
    <w:rsid w:val="0879BF30"/>
    <w:rsid w:val="088B7D0D"/>
    <w:rsid w:val="09491C0E"/>
    <w:rsid w:val="098893A9"/>
    <w:rsid w:val="0ACF68D8"/>
    <w:rsid w:val="0AE1807B"/>
    <w:rsid w:val="0B70A3F0"/>
    <w:rsid w:val="0BD76C8A"/>
    <w:rsid w:val="0CBC4F96"/>
    <w:rsid w:val="0D36DDE7"/>
    <w:rsid w:val="0D373DFA"/>
    <w:rsid w:val="0E25D4B9"/>
    <w:rsid w:val="0EE8E79E"/>
    <w:rsid w:val="0F60A1CA"/>
    <w:rsid w:val="0F6792FC"/>
    <w:rsid w:val="10D45B3F"/>
    <w:rsid w:val="115132C5"/>
    <w:rsid w:val="12AD5344"/>
    <w:rsid w:val="13BC58C1"/>
    <w:rsid w:val="148319E0"/>
    <w:rsid w:val="14FB5A0F"/>
    <w:rsid w:val="150B7228"/>
    <w:rsid w:val="15E61F1D"/>
    <w:rsid w:val="16A37850"/>
    <w:rsid w:val="17D7C368"/>
    <w:rsid w:val="17E4DC52"/>
    <w:rsid w:val="18220358"/>
    <w:rsid w:val="18236F6B"/>
    <w:rsid w:val="1931EB70"/>
    <w:rsid w:val="1A1B2CB0"/>
    <w:rsid w:val="1A3D03E8"/>
    <w:rsid w:val="1AFC863C"/>
    <w:rsid w:val="1D8EA059"/>
    <w:rsid w:val="1DB4C761"/>
    <w:rsid w:val="1EB7B143"/>
    <w:rsid w:val="1F8886C0"/>
    <w:rsid w:val="1F91CD54"/>
    <w:rsid w:val="20AED2D6"/>
    <w:rsid w:val="214F29C5"/>
    <w:rsid w:val="25968333"/>
    <w:rsid w:val="25EC1B4A"/>
    <w:rsid w:val="2619EA90"/>
    <w:rsid w:val="261AE8EB"/>
    <w:rsid w:val="27E02BEF"/>
    <w:rsid w:val="2967AD43"/>
    <w:rsid w:val="29F59386"/>
    <w:rsid w:val="2AEB5261"/>
    <w:rsid w:val="2B05D48F"/>
    <w:rsid w:val="2C8680CF"/>
    <w:rsid w:val="3013ECA5"/>
    <w:rsid w:val="30ED6792"/>
    <w:rsid w:val="31B7D93B"/>
    <w:rsid w:val="326923C6"/>
    <w:rsid w:val="32A42A59"/>
    <w:rsid w:val="33C05B7D"/>
    <w:rsid w:val="350CB8AE"/>
    <w:rsid w:val="352E8C4C"/>
    <w:rsid w:val="35AABE50"/>
    <w:rsid w:val="3A9E863F"/>
    <w:rsid w:val="3ACC9D18"/>
    <w:rsid w:val="3B1381DE"/>
    <w:rsid w:val="3B8F37DF"/>
    <w:rsid w:val="3BB412CA"/>
    <w:rsid w:val="3C523A74"/>
    <w:rsid w:val="3C8D4265"/>
    <w:rsid w:val="3CD1AADB"/>
    <w:rsid w:val="3CD50698"/>
    <w:rsid w:val="3D2B0840"/>
    <w:rsid w:val="3DFC9C10"/>
    <w:rsid w:val="3F75BD15"/>
    <w:rsid w:val="41A7187B"/>
    <w:rsid w:val="41AF2D71"/>
    <w:rsid w:val="41B134A8"/>
    <w:rsid w:val="42DF5F1A"/>
    <w:rsid w:val="430EF400"/>
    <w:rsid w:val="44676A45"/>
    <w:rsid w:val="46966781"/>
    <w:rsid w:val="48D3DD2F"/>
    <w:rsid w:val="494679E5"/>
    <w:rsid w:val="49A78B0A"/>
    <w:rsid w:val="4A7B6929"/>
    <w:rsid w:val="4ACBEBCD"/>
    <w:rsid w:val="4B1163DA"/>
    <w:rsid w:val="4B782332"/>
    <w:rsid w:val="4C5E7ABC"/>
    <w:rsid w:val="4D3438F1"/>
    <w:rsid w:val="4D4C1BA1"/>
    <w:rsid w:val="4E76A9D8"/>
    <w:rsid w:val="4E966EAA"/>
    <w:rsid w:val="4EE3E23F"/>
    <w:rsid w:val="4FDCA4BD"/>
    <w:rsid w:val="5037F5EF"/>
    <w:rsid w:val="50B733C0"/>
    <w:rsid w:val="5182FFED"/>
    <w:rsid w:val="524B222E"/>
    <w:rsid w:val="54205F29"/>
    <w:rsid w:val="563C04D3"/>
    <w:rsid w:val="57E3EC69"/>
    <w:rsid w:val="5841FB71"/>
    <w:rsid w:val="5A71ACAA"/>
    <w:rsid w:val="5AB9FEDB"/>
    <w:rsid w:val="5B5EC5EE"/>
    <w:rsid w:val="5DC3F423"/>
    <w:rsid w:val="5EE53CB7"/>
    <w:rsid w:val="5F5FC484"/>
    <w:rsid w:val="5F9C2EE8"/>
    <w:rsid w:val="60549C1B"/>
    <w:rsid w:val="60F26881"/>
    <w:rsid w:val="612DB0B3"/>
    <w:rsid w:val="6140E084"/>
    <w:rsid w:val="62D4FAA4"/>
    <w:rsid w:val="643335A7"/>
    <w:rsid w:val="6595504D"/>
    <w:rsid w:val="667C6AF5"/>
    <w:rsid w:val="66F16B7C"/>
    <w:rsid w:val="68135262"/>
    <w:rsid w:val="6856AD85"/>
    <w:rsid w:val="6A744563"/>
    <w:rsid w:val="6ACE626A"/>
    <w:rsid w:val="6B5FD71D"/>
    <w:rsid w:val="6BC33E5B"/>
    <w:rsid w:val="6C25B099"/>
    <w:rsid w:val="6D0F1F41"/>
    <w:rsid w:val="6D7DB256"/>
    <w:rsid w:val="6DD8A398"/>
    <w:rsid w:val="6E4740A3"/>
    <w:rsid w:val="6F09858E"/>
    <w:rsid w:val="6FA2A311"/>
    <w:rsid w:val="706AAB10"/>
    <w:rsid w:val="7119A635"/>
    <w:rsid w:val="713447F5"/>
    <w:rsid w:val="72C67780"/>
    <w:rsid w:val="72C7C629"/>
    <w:rsid w:val="73F90E73"/>
    <w:rsid w:val="74FEB060"/>
    <w:rsid w:val="756B5AFB"/>
    <w:rsid w:val="75B75219"/>
    <w:rsid w:val="7788E7B9"/>
    <w:rsid w:val="77D39082"/>
    <w:rsid w:val="782ADF05"/>
    <w:rsid w:val="783481A0"/>
    <w:rsid w:val="79474252"/>
    <w:rsid w:val="79E283A4"/>
    <w:rsid w:val="79EF8375"/>
    <w:rsid w:val="7AD2F027"/>
    <w:rsid w:val="7B0F54F0"/>
    <w:rsid w:val="7B37BA56"/>
    <w:rsid w:val="7D4383C5"/>
    <w:rsid w:val="7E3FBEA5"/>
    <w:rsid w:val="7F8855A8"/>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5B9E8"/>
  <w15:chartTrackingRefBased/>
  <w15:docId w15:val="{C5EAA4D2-CEC1-4B8A-8146-AA0D30523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character" w:customStyle="1" w:styleId="normaltextrun">
    <w:name w:val="normaltextrun"/>
    <w:basedOn w:val="DefaultParagraphFont"/>
    <w:rsid w:val="00CF55CF"/>
  </w:style>
  <w:style w:type="character" w:customStyle="1" w:styleId="findhit">
    <w:name w:val="findhit"/>
    <w:basedOn w:val="DefaultParagraphFont"/>
    <w:rsid w:val="00CF55CF"/>
  </w:style>
  <w:style w:type="character" w:customStyle="1" w:styleId="eop">
    <w:name w:val="eop"/>
    <w:basedOn w:val="DefaultParagraphFont"/>
    <w:rsid w:val="00CF55CF"/>
  </w:style>
  <w:style w:type="paragraph" w:styleId="Title">
    <w:name w:val="Title"/>
    <w:basedOn w:val="Normal"/>
    <w:link w:val="TitleChar"/>
    <w:qFormat/>
    <w:rsid w:val="00F83BE1"/>
    <w:pPr>
      <w:spacing w:line="240" w:lineRule="auto"/>
      <w:jc w:val="center"/>
    </w:pPr>
    <w:rPr>
      <w:rFonts w:eastAsia="Times New Roman"/>
      <w:sz w:val="28"/>
      <w:szCs w:val="20"/>
    </w:rPr>
  </w:style>
  <w:style w:type="character" w:customStyle="1" w:styleId="TitleChar">
    <w:name w:val="Title Char"/>
    <w:basedOn w:val="DefaultParagraphFont"/>
    <w:link w:val="Title"/>
    <w:rsid w:val="00F83BE1"/>
    <w:rPr>
      <w:rFonts w:ascii="Times New Roman" w:eastAsia="Times New Roman" w:hAnsi="Times New Roman" w:cs="Times New Roman"/>
      <w:sz w:val="28"/>
      <w:szCs w:val="20"/>
    </w:rPr>
  </w:style>
  <w:style w:type="paragraph" w:customStyle="1" w:styleId="xmsonormal">
    <w:name w:val="x_msonormal"/>
    <w:basedOn w:val="Normal"/>
    <w:rsid w:val="00DB0D12"/>
    <w:pPr>
      <w:spacing w:line="240" w:lineRule="auto"/>
    </w:pPr>
    <w:rPr>
      <w:rFonts w:ascii="Calibri" w:hAnsi="Calibri" w:cs="Calibri"/>
      <w:sz w:val="22"/>
      <w:szCs w:val="22"/>
      <w:lang w:eastAsia="lv-LV"/>
    </w:rPr>
  </w:style>
  <w:style w:type="character" w:customStyle="1" w:styleId="UnresolvedMention1">
    <w:name w:val="Unresolved Mention1"/>
    <w:basedOn w:val="DefaultParagraphFont"/>
    <w:uiPriority w:val="99"/>
    <w:unhideWhenUsed/>
    <w:rsid w:val="00DD0A91"/>
    <w:rPr>
      <w:color w:val="605E5C"/>
      <w:shd w:val="clear" w:color="auto" w:fill="E1DFDD"/>
    </w:rPr>
  </w:style>
  <w:style w:type="paragraph" w:styleId="Header">
    <w:name w:val="header"/>
    <w:basedOn w:val="Normal"/>
    <w:link w:val="HeaderChar"/>
    <w:uiPriority w:val="99"/>
    <w:semiHidden/>
    <w:unhideWhenUsed/>
    <w:rsid w:val="000B1152"/>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0B1152"/>
    <w:rPr>
      <w:rFonts w:ascii="Times New Roman" w:hAnsi="Times New Roman" w:cs="Times New Roman"/>
      <w:sz w:val="24"/>
      <w:szCs w:val="24"/>
    </w:rPr>
  </w:style>
  <w:style w:type="paragraph" w:styleId="Footer">
    <w:name w:val="footer"/>
    <w:basedOn w:val="Normal"/>
    <w:link w:val="FooterChar"/>
    <w:uiPriority w:val="99"/>
    <w:semiHidden/>
    <w:unhideWhenUsed/>
    <w:rsid w:val="000B1152"/>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0B1152"/>
    <w:rPr>
      <w:rFonts w:ascii="Times New Roman" w:hAnsi="Times New Roman" w:cs="Times New Roman"/>
      <w:sz w:val="24"/>
      <w:szCs w:val="24"/>
    </w:rPr>
  </w:style>
  <w:style w:type="paragraph" w:styleId="Revision">
    <w:name w:val="Revision"/>
    <w:hidden/>
    <w:uiPriority w:val="99"/>
    <w:semiHidden/>
    <w:rsid w:val="009100D0"/>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9626842">
      <w:bodyDiv w:val="1"/>
      <w:marLeft w:val="0"/>
      <w:marRight w:val="0"/>
      <w:marTop w:val="0"/>
      <w:marBottom w:val="0"/>
      <w:divBdr>
        <w:top w:val="none" w:sz="0" w:space="0" w:color="auto"/>
        <w:left w:val="none" w:sz="0" w:space="0" w:color="auto"/>
        <w:bottom w:val="none" w:sz="0" w:space="0" w:color="auto"/>
        <w:right w:val="none" w:sz="0" w:space="0" w:color="auto"/>
      </w:divBdr>
    </w:div>
    <w:div w:id="654377563">
      <w:bodyDiv w:val="1"/>
      <w:marLeft w:val="0"/>
      <w:marRight w:val="0"/>
      <w:marTop w:val="0"/>
      <w:marBottom w:val="0"/>
      <w:divBdr>
        <w:top w:val="none" w:sz="0" w:space="0" w:color="auto"/>
        <w:left w:val="none" w:sz="0" w:space="0" w:color="auto"/>
        <w:bottom w:val="none" w:sz="0" w:space="0" w:color="auto"/>
        <w:right w:val="none" w:sz="0" w:space="0" w:color="auto"/>
      </w:divBdr>
    </w:div>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748387435">
      <w:bodyDiv w:val="1"/>
      <w:marLeft w:val="0"/>
      <w:marRight w:val="0"/>
      <w:marTop w:val="0"/>
      <w:marBottom w:val="0"/>
      <w:divBdr>
        <w:top w:val="none" w:sz="0" w:space="0" w:color="auto"/>
        <w:left w:val="none" w:sz="0" w:space="0" w:color="auto"/>
        <w:bottom w:val="none" w:sz="0" w:space="0" w:color="auto"/>
        <w:right w:val="none" w:sz="0" w:space="0" w:color="auto"/>
      </w:divBdr>
    </w:div>
    <w:div w:id="785808368">
      <w:bodyDiv w:val="1"/>
      <w:marLeft w:val="0"/>
      <w:marRight w:val="0"/>
      <w:marTop w:val="0"/>
      <w:marBottom w:val="0"/>
      <w:divBdr>
        <w:top w:val="none" w:sz="0" w:space="0" w:color="auto"/>
        <w:left w:val="none" w:sz="0" w:space="0" w:color="auto"/>
        <w:bottom w:val="none" w:sz="0" w:space="0" w:color="auto"/>
        <w:right w:val="none" w:sz="0" w:space="0" w:color="auto"/>
      </w:divBdr>
    </w:div>
    <w:div w:id="1147742844">
      <w:bodyDiv w:val="1"/>
      <w:marLeft w:val="0"/>
      <w:marRight w:val="0"/>
      <w:marTop w:val="0"/>
      <w:marBottom w:val="0"/>
      <w:divBdr>
        <w:top w:val="none" w:sz="0" w:space="0" w:color="auto"/>
        <w:left w:val="none" w:sz="0" w:space="0" w:color="auto"/>
        <w:bottom w:val="none" w:sz="0" w:space="0" w:color="auto"/>
        <w:right w:val="none" w:sz="0" w:space="0" w:color="auto"/>
      </w:divBdr>
    </w:div>
    <w:div w:id="1148322486">
      <w:bodyDiv w:val="1"/>
      <w:marLeft w:val="0"/>
      <w:marRight w:val="0"/>
      <w:marTop w:val="0"/>
      <w:marBottom w:val="0"/>
      <w:divBdr>
        <w:top w:val="none" w:sz="0" w:space="0" w:color="auto"/>
        <w:left w:val="none" w:sz="0" w:space="0" w:color="auto"/>
        <w:bottom w:val="none" w:sz="0" w:space="0" w:color="auto"/>
        <w:right w:val="none" w:sz="0" w:space="0" w:color="auto"/>
      </w:divBdr>
    </w:div>
    <w:div w:id="1233393034">
      <w:bodyDiv w:val="1"/>
      <w:marLeft w:val="0"/>
      <w:marRight w:val="0"/>
      <w:marTop w:val="0"/>
      <w:marBottom w:val="0"/>
      <w:divBdr>
        <w:top w:val="none" w:sz="0" w:space="0" w:color="auto"/>
        <w:left w:val="none" w:sz="0" w:space="0" w:color="auto"/>
        <w:bottom w:val="none" w:sz="0" w:space="0" w:color="auto"/>
        <w:right w:val="none" w:sz="0" w:space="0" w:color="auto"/>
      </w:divBdr>
    </w:div>
    <w:div w:id="1432625214">
      <w:bodyDiv w:val="1"/>
      <w:marLeft w:val="0"/>
      <w:marRight w:val="0"/>
      <w:marTop w:val="0"/>
      <w:marBottom w:val="0"/>
      <w:divBdr>
        <w:top w:val="none" w:sz="0" w:space="0" w:color="auto"/>
        <w:left w:val="none" w:sz="0" w:space="0" w:color="auto"/>
        <w:bottom w:val="none" w:sz="0" w:space="0" w:color="auto"/>
        <w:right w:val="none" w:sz="0" w:space="0" w:color="auto"/>
      </w:divBdr>
    </w:div>
    <w:div w:id="1535776607">
      <w:bodyDiv w:val="1"/>
      <w:marLeft w:val="0"/>
      <w:marRight w:val="0"/>
      <w:marTop w:val="0"/>
      <w:marBottom w:val="0"/>
      <w:divBdr>
        <w:top w:val="none" w:sz="0" w:space="0" w:color="auto"/>
        <w:left w:val="none" w:sz="0" w:space="0" w:color="auto"/>
        <w:bottom w:val="none" w:sz="0" w:space="0" w:color="auto"/>
        <w:right w:val="none" w:sz="0" w:space="0" w:color="auto"/>
      </w:divBdr>
    </w:div>
    <w:div w:id="1782994289">
      <w:bodyDiv w:val="1"/>
      <w:marLeft w:val="0"/>
      <w:marRight w:val="0"/>
      <w:marTop w:val="0"/>
      <w:marBottom w:val="0"/>
      <w:divBdr>
        <w:top w:val="none" w:sz="0" w:space="0" w:color="auto"/>
        <w:left w:val="none" w:sz="0" w:space="0" w:color="auto"/>
        <w:bottom w:val="none" w:sz="0" w:space="0" w:color="auto"/>
        <w:right w:val="none" w:sz="0" w:space="0" w:color="auto"/>
      </w:divBdr>
    </w:div>
    <w:div w:id="1798259070">
      <w:bodyDiv w:val="1"/>
      <w:marLeft w:val="0"/>
      <w:marRight w:val="0"/>
      <w:marTop w:val="0"/>
      <w:marBottom w:val="0"/>
      <w:divBdr>
        <w:top w:val="none" w:sz="0" w:space="0" w:color="auto"/>
        <w:left w:val="none" w:sz="0" w:space="0" w:color="auto"/>
        <w:bottom w:val="none" w:sz="0" w:space="0" w:color="auto"/>
        <w:right w:val="none" w:sz="0" w:space="0" w:color="auto"/>
      </w:divBdr>
    </w:div>
    <w:div w:id="1837307823">
      <w:bodyDiv w:val="1"/>
      <w:marLeft w:val="0"/>
      <w:marRight w:val="0"/>
      <w:marTop w:val="0"/>
      <w:marBottom w:val="0"/>
      <w:divBdr>
        <w:top w:val="none" w:sz="0" w:space="0" w:color="auto"/>
        <w:left w:val="none" w:sz="0" w:space="0" w:color="auto"/>
        <w:bottom w:val="none" w:sz="0" w:space="0" w:color="auto"/>
        <w:right w:val="none" w:sz="0" w:space="0" w:color="auto"/>
      </w:divBdr>
    </w:div>
    <w:div w:id="187992930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s" ma:contentTypeID="0x010100D75856F525BC6B4AAC9326C419DA09EB" ma:contentTypeVersion="13" ma:contentTypeDescription="Izveidot jaunu dokumentu." ma:contentTypeScope="" ma:versionID="4e687e577741206111abe88cdf9f5994">
  <xsd:schema xmlns:xsd="http://www.w3.org/2001/XMLSchema" xmlns:xs="http://www.w3.org/2001/XMLSchema" xmlns:p="http://schemas.microsoft.com/office/2006/metadata/properties" xmlns:ns2="e793aee2-0702-45ff-9c51-b29030239f5c" xmlns:ns3="98d6c3d8-aeaf-4e5b-adb6-e1ad8a72b2c7" targetNamespace="http://schemas.microsoft.com/office/2006/metadata/properties" ma:root="true" ma:fieldsID="8e9bf498bcf4646c0062ba63437693b1" ns2:_="" ns3:_="">
    <xsd:import namespace="e793aee2-0702-45ff-9c51-b29030239f5c"/>
    <xsd:import namespace="98d6c3d8-aeaf-4e5b-adb6-e1ad8a72b2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93aee2-0702-45ff-9c51-b29030239f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8d6c3d8-aeaf-4e5b-adb6-e1ad8a72b2c7" elementFormDefault="qualified">
    <xsd:import namespace="http://schemas.microsoft.com/office/2006/documentManagement/types"/>
    <xsd:import namespace="http://schemas.microsoft.com/office/infopath/2007/PartnerControls"/>
    <xsd:element name="SharedWithUsers" ma:index="16"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66299E-39F0-4AF7-BDAC-A4D723C68C92}">
  <ds:schemaRefs>
    <ds:schemaRef ds:uri="http://schemas.openxmlformats.org/officeDocument/2006/bibliography"/>
  </ds:schemaRefs>
</ds:datastoreItem>
</file>

<file path=customXml/itemProps2.xml><?xml version="1.0" encoding="utf-8"?>
<ds:datastoreItem xmlns:ds="http://schemas.openxmlformats.org/officeDocument/2006/customXml" ds:itemID="{67A3E714-095F-492C-A0FC-01991A0930FE}">
  <ds:schemaRefs>
    <ds:schemaRef ds:uri="http://schemas.microsoft.com/sharepoint/v3/contenttype/forms"/>
  </ds:schemaRefs>
</ds:datastoreItem>
</file>

<file path=customXml/itemProps3.xml><?xml version="1.0" encoding="utf-8"?>
<ds:datastoreItem xmlns:ds="http://schemas.openxmlformats.org/officeDocument/2006/customXml" ds:itemID="{831EF212-FEFC-41D5-BDED-97FAD233DB5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F3C7CD-A33F-4D08-B334-8BBF98B3E1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93aee2-0702-45ff-9c51-b29030239f5c"/>
    <ds:schemaRef ds:uri="98d6c3d8-aeaf-4e5b-adb6-e1ad8a72b2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60</TotalTime>
  <Pages>5</Pages>
  <Words>10846</Words>
  <Characters>6183</Characters>
  <Application>Microsoft Office Word</Application>
  <DocSecurity>0</DocSecurity>
  <Lines>51</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Inga Lapsa</cp:lastModifiedBy>
  <cp:revision>22</cp:revision>
  <dcterms:created xsi:type="dcterms:W3CDTF">2022-01-18T14:48:00Z</dcterms:created>
  <dcterms:modified xsi:type="dcterms:W3CDTF">2024-04-03T07:44:00Z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0x010100D75856F525BC6B4AAC9326C419DA09EB</vt:lpwstr>
  </property>
</Properties>
</file>